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A32B8" w14:textId="77777777" w:rsidR="006F21EC" w:rsidRPr="004E2AB7" w:rsidRDefault="006F21EC" w:rsidP="004E2AB7">
      <w:pPr>
        <w:keepLines/>
        <w:rPr>
          <w:rFonts w:ascii="Helvetica" w:hAnsi="Helvetica"/>
          <w:color w:val="000000"/>
          <w:sz w:val="16"/>
        </w:rPr>
      </w:pPr>
    </w:p>
    <w:p w14:paraId="372C969E" w14:textId="10D6DDD9" w:rsidR="007C7D1E" w:rsidRPr="004E2AB7" w:rsidRDefault="007C7D1E" w:rsidP="004E2AB7">
      <w:pPr>
        <w:pStyle w:val="Default"/>
        <w:keepLines/>
        <w:jc w:val="center"/>
        <w:rPr>
          <w:rFonts w:ascii="Helvetica" w:hAnsi="Helvetica"/>
          <w:b/>
          <w:sz w:val="28"/>
        </w:rPr>
      </w:pPr>
      <w:r w:rsidRPr="004E2AB7">
        <w:rPr>
          <w:rFonts w:ascii="Helvetica" w:hAnsi="Helvetica"/>
          <w:b/>
          <w:sz w:val="28"/>
        </w:rPr>
        <w:t xml:space="preserve">ANEXO </w:t>
      </w:r>
      <w:r w:rsidR="00C47FA8">
        <w:rPr>
          <w:rFonts w:ascii="Helvetica" w:hAnsi="Helvetica"/>
          <w:b/>
          <w:sz w:val="28"/>
        </w:rPr>
        <w:t>IX</w:t>
      </w:r>
    </w:p>
    <w:p w14:paraId="56A4516A" w14:textId="0E755258" w:rsidR="00053A2B" w:rsidRDefault="00C47FA8" w:rsidP="00C47FA8">
      <w:pPr>
        <w:keepLines/>
        <w:autoSpaceDE w:val="0"/>
        <w:autoSpaceDN w:val="0"/>
        <w:adjustRightInd w:val="0"/>
        <w:spacing w:after="0" w:line="360" w:lineRule="auto"/>
        <w:jc w:val="center"/>
        <w:rPr>
          <w:rFonts w:ascii="Helvetica" w:hAnsi="Helvetica"/>
          <w:color w:val="000000"/>
          <w:sz w:val="20"/>
          <w:szCs w:val="20"/>
        </w:rPr>
      </w:pPr>
      <w:r w:rsidRPr="00C47FA8">
        <w:rPr>
          <w:rFonts w:ascii="Helvetica" w:eastAsia="Times New Roman" w:hAnsi="Helvetica" w:cs="Myriad Pro"/>
          <w:b/>
          <w:color w:val="000000"/>
          <w:sz w:val="28"/>
          <w:szCs w:val="24"/>
          <w:lang w:eastAsia="es-ES"/>
        </w:rPr>
        <w:t>Contenido de la cuenta justificativa</w:t>
      </w:r>
    </w:p>
    <w:p w14:paraId="046E3536" w14:textId="04034609" w:rsidR="002204E8" w:rsidRDefault="002204E8" w:rsidP="002204E8">
      <w:pPr>
        <w:pStyle w:val="Default"/>
        <w:keepLines/>
        <w:spacing w:line="360" w:lineRule="auto"/>
        <w:jc w:val="both"/>
        <w:rPr>
          <w:rFonts w:ascii="Helvetica" w:hAnsi="Helvetica"/>
          <w:sz w:val="20"/>
          <w:szCs w:val="20"/>
        </w:rPr>
      </w:pPr>
    </w:p>
    <w:p w14:paraId="6EDD3F4A" w14:textId="3EAE0B1E" w:rsidR="00371AF2" w:rsidRDefault="00371AF2" w:rsidP="00371AF2">
      <w:pPr>
        <w:pStyle w:val="Default"/>
        <w:keepLines/>
        <w:spacing w:line="360" w:lineRule="auto"/>
        <w:jc w:val="both"/>
        <w:rPr>
          <w:rFonts w:ascii="Helvetica" w:hAnsi="Helvetica"/>
          <w:sz w:val="20"/>
          <w:szCs w:val="20"/>
        </w:rPr>
      </w:pPr>
      <w:r w:rsidRPr="00371AF2">
        <w:rPr>
          <w:rFonts w:ascii="Helvetica" w:hAnsi="Helvetica"/>
          <w:sz w:val="20"/>
          <w:szCs w:val="20"/>
        </w:rPr>
        <w:t>La cuenta justificativa consta de una memoria de actuación y de una memoria económica.</w:t>
      </w:r>
    </w:p>
    <w:p w14:paraId="35ED4F46" w14:textId="030FBB73" w:rsidR="00D23B98" w:rsidRPr="00371AF2" w:rsidRDefault="00D23B98" w:rsidP="00371AF2">
      <w:pPr>
        <w:pStyle w:val="Default"/>
        <w:keepLines/>
        <w:spacing w:line="360" w:lineRule="auto"/>
        <w:jc w:val="both"/>
        <w:rPr>
          <w:rFonts w:ascii="Helvetica" w:hAnsi="Helvetica"/>
          <w:sz w:val="20"/>
          <w:szCs w:val="20"/>
        </w:rPr>
      </w:pPr>
      <w:r w:rsidRPr="00D23B98">
        <w:rPr>
          <w:rFonts w:ascii="Helvetica" w:hAnsi="Helvetica"/>
          <w:sz w:val="20"/>
          <w:szCs w:val="20"/>
        </w:rPr>
        <w:t>Tanto la memoria de actuación como la</w:t>
      </w:r>
      <w:r>
        <w:rPr>
          <w:rFonts w:ascii="Helvetica" w:hAnsi="Helvetica"/>
          <w:sz w:val="20"/>
          <w:szCs w:val="20"/>
        </w:rPr>
        <w:t xml:space="preserve"> de</w:t>
      </w:r>
      <w:r w:rsidRPr="00D23B98">
        <w:rPr>
          <w:rFonts w:ascii="Helvetica" w:hAnsi="Helvetica"/>
          <w:sz w:val="20"/>
          <w:szCs w:val="20"/>
        </w:rPr>
        <w:t xml:space="preserve"> gasto deberán estar firmadas por el auditor al objeto de establecer de forma irrefutable la vinculación entre el informe del auditor y el contenido revisado de la cuenta justificativa.</w:t>
      </w:r>
    </w:p>
    <w:p w14:paraId="7119736B" w14:textId="090FB42B" w:rsidR="00371AF2" w:rsidRPr="00371AF2" w:rsidRDefault="00371AF2" w:rsidP="00371AF2">
      <w:pPr>
        <w:pStyle w:val="Default"/>
        <w:keepLines/>
        <w:spacing w:line="360" w:lineRule="auto"/>
        <w:jc w:val="both"/>
        <w:rPr>
          <w:rFonts w:ascii="Helvetica" w:hAnsi="Helvetica"/>
          <w:sz w:val="20"/>
          <w:szCs w:val="20"/>
        </w:rPr>
      </w:pPr>
      <w:r w:rsidRPr="00371AF2">
        <w:rPr>
          <w:rFonts w:ascii="Helvetica" w:hAnsi="Helvetica"/>
          <w:sz w:val="20"/>
          <w:szCs w:val="20"/>
        </w:rPr>
        <w:t xml:space="preserve">La </w:t>
      </w:r>
      <w:r w:rsidRPr="00FB06CA">
        <w:rPr>
          <w:rFonts w:ascii="Helvetica" w:hAnsi="Helvetica"/>
          <w:b/>
          <w:bCs/>
          <w:sz w:val="20"/>
          <w:szCs w:val="20"/>
        </w:rPr>
        <w:t>memoria de actuación</w:t>
      </w:r>
      <w:r w:rsidRPr="00371AF2">
        <w:rPr>
          <w:rFonts w:ascii="Helvetica" w:hAnsi="Helvetica"/>
          <w:sz w:val="20"/>
          <w:szCs w:val="20"/>
        </w:rPr>
        <w:t xml:space="preserve"> contendrá toda la información necesaria para acreditar el</w:t>
      </w:r>
      <w:r>
        <w:rPr>
          <w:rFonts w:ascii="Helvetica" w:hAnsi="Helvetica"/>
          <w:sz w:val="20"/>
          <w:szCs w:val="20"/>
        </w:rPr>
        <w:t xml:space="preserve"> </w:t>
      </w:r>
      <w:r w:rsidRPr="00371AF2">
        <w:rPr>
          <w:rFonts w:ascii="Helvetica" w:hAnsi="Helvetica"/>
          <w:sz w:val="20"/>
          <w:szCs w:val="20"/>
        </w:rPr>
        <w:t>cumplimiento de las condiciones impuestas en la resolución de concesión de la ayuda y,</w:t>
      </w:r>
      <w:r>
        <w:rPr>
          <w:rFonts w:ascii="Helvetica" w:hAnsi="Helvetica"/>
          <w:sz w:val="20"/>
          <w:szCs w:val="20"/>
        </w:rPr>
        <w:t xml:space="preserve"> </w:t>
      </w:r>
      <w:r w:rsidRPr="00371AF2">
        <w:rPr>
          <w:rFonts w:ascii="Helvetica" w:hAnsi="Helvetica"/>
          <w:sz w:val="20"/>
          <w:szCs w:val="20"/>
        </w:rPr>
        <w:t>en particular, los siguientes aspectos:</w:t>
      </w:r>
    </w:p>
    <w:p w14:paraId="2C07BD0D" w14:textId="77777777" w:rsidR="00371AF2" w:rsidRDefault="00371AF2" w:rsidP="00371AF2">
      <w:pPr>
        <w:pStyle w:val="Default"/>
        <w:keepLines/>
        <w:numPr>
          <w:ilvl w:val="0"/>
          <w:numId w:val="9"/>
        </w:numPr>
        <w:spacing w:line="360" w:lineRule="auto"/>
        <w:jc w:val="both"/>
        <w:rPr>
          <w:rFonts w:ascii="Helvetica" w:hAnsi="Helvetica"/>
          <w:sz w:val="20"/>
          <w:szCs w:val="20"/>
        </w:rPr>
      </w:pPr>
      <w:r w:rsidRPr="00371AF2">
        <w:rPr>
          <w:rFonts w:ascii="Helvetica" w:hAnsi="Helvetica"/>
          <w:sz w:val="20"/>
          <w:szCs w:val="20"/>
        </w:rPr>
        <w:t>Descripción de las actividades realizadas y los resultados obtenidos en términos de</w:t>
      </w:r>
      <w:r w:rsidRPr="00371AF2">
        <w:rPr>
          <w:rFonts w:ascii="Helvetica" w:hAnsi="Helvetica"/>
          <w:sz w:val="20"/>
          <w:szCs w:val="20"/>
        </w:rPr>
        <w:t xml:space="preserve"> </w:t>
      </w:r>
      <w:r w:rsidRPr="00371AF2">
        <w:rPr>
          <w:rFonts w:ascii="Helvetica" w:hAnsi="Helvetica"/>
          <w:sz w:val="20"/>
          <w:szCs w:val="20"/>
        </w:rPr>
        <w:t>cobertura alcanzada, expresada en unidades inmobiliarias cubiertas, según se haya establecido en la resolución de concesión</w:t>
      </w:r>
      <w:r w:rsidRPr="00371AF2">
        <w:rPr>
          <w:rFonts w:ascii="Helvetica" w:hAnsi="Helvetica"/>
          <w:sz w:val="20"/>
          <w:szCs w:val="20"/>
        </w:rPr>
        <w:t xml:space="preserve">. </w:t>
      </w:r>
      <w:r w:rsidRPr="00371AF2">
        <w:rPr>
          <w:rFonts w:ascii="Helvetica" w:hAnsi="Helvetica"/>
          <w:sz w:val="20"/>
          <w:szCs w:val="20"/>
        </w:rPr>
        <w:t xml:space="preserve">La información relativa a la cobertura </w:t>
      </w:r>
      <w:proofErr w:type="gramStart"/>
      <w:r w:rsidRPr="00371AF2">
        <w:rPr>
          <w:rFonts w:ascii="Helvetica" w:hAnsi="Helvetica"/>
          <w:sz w:val="20"/>
          <w:szCs w:val="20"/>
        </w:rPr>
        <w:t>alcanzada,</w:t>
      </w:r>
      <w:proofErr w:type="gramEnd"/>
      <w:r w:rsidRPr="00371AF2">
        <w:rPr>
          <w:rFonts w:ascii="Helvetica" w:hAnsi="Helvetica"/>
          <w:sz w:val="20"/>
          <w:szCs w:val="20"/>
        </w:rPr>
        <w:t xml:space="preserve"> se facilitará en un archivo en</w:t>
      </w:r>
      <w:r>
        <w:rPr>
          <w:rFonts w:ascii="Helvetica" w:hAnsi="Helvetica"/>
          <w:sz w:val="20"/>
          <w:szCs w:val="20"/>
        </w:rPr>
        <w:t xml:space="preserve"> </w:t>
      </w:r>
      <w:r w:rsidRPr="00371AF2">
        <w:rPr>
          <w:rFonts w:ascii="Helvetica" w:hAnsi="Helvetica"/>
          <w:sz w:val="20"/>
          <w:szCs w:val="20"/>
        </w:rPr>
        <w:t xml:space="preserve">formato CSV </w:t>
      </w:r>
      <w:r w:rsidRPr="00371AF2">
        <w:rPr>
          <w:rFonts w:ascii="Helvetica" w:hAnsi="Helvetica"/>
          <w:sz w:val="20"/>
          <w:szCs w:val="20"/>
        </w:rPr>
        <w:t>o XLS</w:t>
      </w:r>
    </w:p>
    <w:p w14:paraId="087CAB99" w14:textId="449E32D2" w:rsidR="00371AF2" w:rsidRPr="00371AF2" w:rsidRDefault="00371AF2" w:rsidP="00FD6944">
      <w:pPr>
        <w:pStyle w:val="Default"/>
        <w:keepLines/>
        <w:numPr>
          <w:ilvl w:val="0"/>
          <w:numId w:val="9"/>
        </w:numPr>
        <w:spacing w:line="360" w:lineRule="auto"/>
        <w:jc w:val="both"/>
        <w:rPr>
          <w:rFonts w:ascii="Helvetica" w:hAnsi="Helvetica"/>
          <w:sz w:val="20"/>
          <w:szCs w:val="20"/>
        </w:rPr>
      </w:pPr>
      <w:r w:rsidRPr="00371AF2">
        <w:rPr>
          <w:rFonts w:ascii="Helvetica" w:hAnsi="Helvetica"/>
          <w:sz w:val="20"/>
          <w:szCs w:val="20"/>
        </w:rPr>
        <w:t>Descripción y motivación de las desviaciones respecto a lo previsto en la memoria</w:t>
      </w:r>
      <w:r w:rsidRPr="00371AF2">
        <w:rPr>
          <w:rFonts w:ascii="Helvetica" w:hAnsi="Helvetica"/>
          <w:sz w:val="20"/>
          <w:szCs w:val="20"/>
        </w:rPr>
        <w:t xml:space="preserve"> </w:t>
      </w:r>
      <w:r w:rsidRPr="00371AF2">
        <w:rPr>
          <w:rFonts w:ascii="Helvetica" w:hAnsi="Helvetica"/>
          <w:sz w:val="20"/>
          <w:szCs w:val="20"/>
        </w:rPr>
        <w:t>de solicitud, con indicación expresa de las modificaciones realizadas, las cuales</w:t>
      </w:r>
      <w:r w:rsidRPr="00371AF2">
        <w:rPr>
          <w:rFonts w:ascii="Helvetica" w:hAnsi="Helvetica"/>
          <w:sz w:val="20"/>
          <w:szCs w:val="20"/>
        </w:rPr>
        <w:t xml:space="preserve"> </w:t>
      </w:r>
      <w:r w:rsidRPr="00371AF2">
        <w:rPr>
          <w:rFonts w:ascii="Helvetica" w:hAnsi="Helvetica"/>
          <w:sz w:val="20"/>
          <w:szCs w:val="20"/>
        </w:rPr>
        <w:t>podrán incluir: las expresamente autorizadas por el órgano concedente, las</w:t>
      </w:r>
      <w:r w:rsidRPr="00371AF2">
        <w:rPr>
          <w:rFonts w:ascii="Helvetica" w:hAnsi="Helvetica"/>
          <w:sz w:val="20"/>
          <w:szCs w:val="20"/>
        </w:rPr>
        <w:t xml:space="preserve"> </w:t>
      </w:r>
      <w:r w:rsidRPr="00371AF2">
        <w:rPr>
          <w:rFonts w:ascii="Helvetica" w:hAnsi="Helvetica"/>
          <w:sz w:val="20"/>
          <w:szCs w:val="20"/>
        </w:rPr>
        <w:t>modificaciones menores autorizadas por el órgano encargado del seguimiento de</w:t>
      </w:r>
      <w:r w:rsidRPr="00371AF2">
        <w:rPr>
          <w:rFonts w:ascii="Helvetica" w:hAnsi="Helvetica"/>
          <w:sz w:val="20"/>
          <w:szCs w:val="20"/>
        </w:rPr>
        <w:t xml:space="preserve"> </w:t>
      </w:r>
      <w:r w:rsidRPr="00371AF2">
        <w:rPr>
          <w:rFonts w:ascii="Helvetica" w:hAnsi="Helvetica"/>
          <w:sz w:val="20"/>
          <w:szCs w:val="20"/>
        </w:rPr>
        <w:t>la ayuda, así como las que no hayan necesitado de autorización previa, de acuerdo</w:t>
      </w:r>
      <w:r>
        <w:rPr>
          <w:rFonts w:ascii="Helvetica" w:hAnsi="Helvetica"/>
          <w:sz w:val="20"/>
          <w:szCs w:val="20"/>
        </w:rPr>
        <w:t xml:space="preserve"> </w:t>
      </w:r>
      <w:r w:rsidRPr="00371AF2">
        <w:rPr>
          <w:rFonts w:ascii="Helvetica" w:hAnsi="Helvetica"/>
          <w:sz w:val="20"/>
          <w:szCs w:val="20"/>
        </w:rPr>
        <w:t>con lo previsto en el artículo 2</w:t>
      </w:r>
      <w:r w:rsidR="00180A94">
        <w:rPr>
          <w:rFonts w:ascii="Helvetica" w:hAnsi="Helvetica"/>
          <w:sz w:val="20"/>
          <w:szCs w:val="20"/>
        </w:rPr>
        <w:t>2</w:t>
      </w:r>
      <w:r w:rsidRPr="00371AF2">
        <w:rPr>
          <w:rFonts w:ascii="Helvetica" w:hAnsi="Helvetica"/>
          <w:sz w:val="20"/>
          <w:szCs w:val="20"/>
        </w:rPr>
        <w:t xml:space="preserve"> de las bases reguladoras.</w:t>
      </w:r>
    </w:p>
    <w:p w14:paraId="3D77D9B3" w14:textId="13D1BBB2" w:rsidR="004E1F4B" w:rsidRDefault="00371AF2" w:rsidP="0042363F">
      <w:pPr>
        <w:pStyle w:val="Default"/>
        <w:keepLines/>
        <w:numPr>
          <w:ilvl w:val="0"/>
          <w:numId w:val="9"/>
        </w:numPr>
        <w:spacing w:line="360" w:lineRule="auto"/>
        <w:jc w:val="both"/>
        <w:rPr>
          <w:rFonts w:ascii="Helvetica" w:hAnsi="Helvetica"/>
          <w:sz w:val="20"/>
          <w:szCs w:val="20"/>
        </w:rPr>
      </w:pPr>
      <w:r w:rsidRPr="00180A94">
        <w:rPr>
          <w:rFonts w:ascii="Helvetica" w:hAnsi="Helvetica"/>
          <w:sz w:val="20"/>
          <w:szCs w:val="20"/>
        </w:rPr>
        <w:t>Actividades de información y publicidad realizadas para dar cumplimiento a lo</w:t>
      </w:r>
      <w:r w:rsidR="00180A94">
        <w:rPr>
          <w:rFonts w:ascii="Helvetica" w:hAnsi="Helvetica"/>
          <w:sz w:val="20"/>
          <w:szCs w:val="20"/>
        </w:rPr>
        <w:t xml:space="preserve"> </w:t>
      </w:r>
      <w:r w:rsidRPr="00180A94">
        <w:rPr>
          <w:rFonts w:ascii="Helvetica" w:hAnsi="Helvetica"/>
          <w:sz w:val="20"/>
          <w:szCs w:val="20"/>
        </w:rPr>
        <w:t xml:space="preserve">establecido en el </w:t>
      </w:r>
      <w:r w:rsidR="003A7374">
        <w:rPr>
          <w:rFonts w:ascii="Helvetica" w:hAnsi="Helvetica"/>
          <w:sz w:val="20"/>
          <w:szCs w:val="20"/>
        </w:rPr>
        <w:t>artículo 35</w:t>
      </w:r>
      <w:r w:rsidRPr="00180A94">
        <w:rPr>
          <w:rFonts w:ascii="Helvetica" w:hAnsi="Helvetica"/>
          <w:sz w:val="20"/>
          <w:szCs w:val="20"/>
        </w:rPr>
        <w:t xml:space="preserve"> de </w:t>
      </w:r>
      <w:r w:rsidR="003A7374">
        <w:rPr>
          <w:rFonts w:ascii="Helvetica" w:hAnsi="Helvetica"/>
          <w:sz w:val="20"/>
          <w:szCs w:val="20"/>
        </w:rPr>
        <w:t>l</w:t>
      </w:r>
      <w:r w:rsidRPr="00180A94">
        <w:rPr>
          <w:rFonts w:ascii="Helvetica" w:hAnsi="Helvetica"/>
          <w:sz w:val="20"/>
          <w:szCs w:val="20"/>
        </w:rPr>
        <w:t>a Convocatoria</w:t>
      </w:r>
    </w:p>
    <w:p w14:paraId="701A4DDD" w14:textId="3C2A0BF3" w:rsidR="0042363F" w:rsidRDefault="0042363F" w:rsidP="0042363F">
      <w:pPr>
        <w:pStyle w:val="Default"/>
        <w:keepLines/>
        <w:spacing w:line="360" w:lineRule="auto"/>
        <w:jc w:val="both"/>
        <w:rPr>
          <w:rFonts w:ascii="Helvetica" w:hAnsi="Helvetica"/>
          <w:sz w:val="20"/>
          <w:szCs w:val="20"/>
        </w:rPr>
      </w:pPr>
    </w:p>
    <w:p w14:paraId="62B73E26" w14:textId="77777777" w:rsidR="0042363F" w:rsidRDefault="0042363F" w:rsidP="0042363F">
      <w:pPr>
        <w:pStyle w:val="Default"/>
        <w:keepLines/>
        <w:spacing w:line="360" w:lineRule="auto"/>
        <w:jc w:val="both"/>
        <w:rPr>
          <w:rFonts w:ascii="Helvetica" w:hAnsi="Helvetica"/>
          <w:sz w:val="20"/>
          <w:szCs w:val="20"/>
        </w:rPr>
      </w:pPr>
      <w:r w:rsidRPr="0042363F">
        <w:rPr>
          <w:rFonts w:ascii="Helvetica" w:hAnsi="Helvetica"/>
          <w:sz w:val="20"/>
          <w:szCs w:val="20"/>
        </w:rPr>
        <w:t xml:space="preserve">La </w:t>
      </w:r>
      <w:r w:rsidRPr="00FB06CA">
        <w:rPr>
          <w:rFonts w:ascii="Helvetica" w:hAnsi="Helvetica"/>
          <w:b/>
          <w:bCs/>
          <w:sz w:val="20"/>
          <w:szCs w:val="20"/>
        </w:rPr>
        <w:t>memoria económica</w:t>
      </w:r>
      <w:r w:rsidRPr="0042363F">
        <w:rPr>
          <w:rFonts w:ascii="Helvetica" w:hAnsi="Helvetica"/>
          <w:sz w:val="20"/>
          <w:szCs w:val="20"/>
        </w:rPr>
        <w:t xml:space="preserve"> contendrá toda la información necesaria para acreditar la</w:t>
      </w:r>
      <w:r>
        <w:rPr>
          <w:rFonts w:ascii="Helvetica" w:hAnsi="Helvetica"/>
          <w:sz w:val="20"/>
          <w:szCs w:val="20"/>
        </w:rPr>
        <w:t xml:space="preserve"> </w:t>
      </w:r>
      <w:r w:rsidRPr="0042363F">
        <w:rPr>
          <w:rFonts w:ascii="Helvetica" w:hAnsi="Helvetica"/>
          <w:sz w:val="20"/>
          <w:szCs w:val="20"/>
        </w:rPr>
        <w:t>adecuación y el importe de los gastos incurridos en las actividades realizadas y su pago.</w:t>
      </w:r>
    </w:p>
    <w:p w14:paraId="63461409" w14:textId="1C54225E" w:rsidR="0042363F" w:rsidRPr="0042363F" w:rsidRDefault="0042363F" w:rsidP="0042363F">
      <w:pPr>
        <w:pStyle w:val="Default"/>
        <w:keepLines/>
        <w:spacing w:line="360" w:lineRule="auto"/>
        <w:jc w:val="both"/>
        <w:rPr>
          <w:rFonts w:ascii="Helvetica" w:hAnsi="Helvetica"/>
          <w:sz w:val="20"/>
          <w:szCs w:val="20"/>
        </w:rPr>
      </w:pPr>
      <w:r w:rsidRPr="0042363F">
        <w:rPr>
          <w:rFonts w:ascii="Helvetica" w:hAnsi="Helvetica"/>
          <w:sz w:val="20"/>
          <w:szCs w:val="20"/>
        </w:rPr>
        <w:t>Estará formada por los siguientes elementos:</w:t>
      </w:r>
    </w:p>
    <w:p w14:paraId="764D212E" w14:textId="77777777" w:rsidR="0042363F" w:rsidRDefault="0042363F" w:rsidP="005E106E">
      <w:pPr>
        <w:pStyle w:val="Default"/>
        <w:keepLines/>
        <w:numPr>
          <w:ilvl w:val="0"/>
          <w:numId w:val="18"/>
        </w:numPr>
        <w:spacing w:line="360" w:lineRule="auto"/>
        <w:jc w:val="both"/>
        <w:rPr>
          <w:rFonts w:ascii="Helvetica" w:hAnsi="Helvetica"/>
          <w:sz w:val="20"/>
          <w:szCs w:val="20"/>
        </w:rPr>
      </w:pPr>
      <w:r w:rsidRPr="0042363F">
        <w:rPr>
          <w:rFonts w:ascii="Helvetica" w:hAnsi="Helvetica"/>
          <w:sz w:val="20"/>
          <w:szCs w:val="20"/>
        </w:rPr>
        <w:t>Ficha de gastos por partida presupuestaria: una relación clasificada de los gastos</w:t>
      </w:r>
      <w:r w:rsidRPr="0042363F">
        <w:rPr>
          <w:rFonts w:ascii="Helvetica" w:hAnsi="Helvetica"/>
          <w:sz w:val="20"/>
          <w:szCs w:val="20"/>
        </w:rPr>
        <w:t xml:space="preserve"> </w:t>
      </w:r>
      <w:r w:rsidRPr="0042363F">
        <w:rPr>
          <w:rFonts w:ascii="Helvetica" w:hAnsi="Helvetica"/>
          <w:sz w:val="20"/>
          <w:szCs w:val="20"/>
        </w:rPr>
        <w:t>con identificación del acreedor y del documento justificativo, su importe, fecha de</w:t>
      </w:r>
      <w:r>
        <w:rPr>
          <w:rFonts w:ascii="Helvetica" w:hAnsi="Helvetica"/>
          <w:sz w:val="20"/>
          <w:szCs w:val="20"/>
        </w:rPr>
        <w:t xml:space="preserve"> </w:t>
      </w:r>
      <w:r w:rsidRPr="0042363F">
        <w:rPr>
          <w:rFonts w:ascii="Helvetica" w:hAnsi="Helvetica"/>
          <w:sz w:val="20"/>
          <w:szCs w:val="20"/>
        </w:rPr>
        <w:t>emisión y fecha de pago.</w:t>
      </w:r>
    </w:p>
    <w:p w14:paraId="3D0EB4AC" w14:textId="082DD732" w:rsidR="0042363F" w:rsidRPr="005E106E" w:rsidRDefault="0042363F" w:rsidP="005E106E">
      <w:pPr>
        <w:pStyle w:val="Default"/>
        <w:keepLines/>
        <w:numPr>
          <w:ilvl w:val="0"/>
          <w:numId w:val="18"/>
        </w:numPr>
        <w:spacing w:line="360" w:lineRule="auto"/>
        <w:jc w:val="both"/>
        <w:rPr>
          <w:rFonts w:ascii="Helvetica" w:hAnsi="Helvetica"/>
          <w:sz w:val="20"/>
          <w:szCs w:val="20"/>
        </w:rPr>
      </w:pPr>
      <w:r w:rsidRPr="0042363F">
        <w:rPr>
          <w:rFonts w:ascii="Helvetica" w:hAnsi="Helvetica"/>
          <w:sz w:val="20"/>
          <w:szCs w:val="20"/>
        </w:rPr>
        <w:t>Copias digitalizadas, de los documentos de gasto y pago identificados en las relaciones</w:t>
      </w:r>
      <w:r w:rsidR="005E106E">
        <w:rPr>
          <w:rFonts w:ascii="Helvetica" w:hAnsi="Helvetica"/>
          <w:sz w:val="20"/>
          <w:szCs w:val="20"/>
        </w:rPr>
        <w:t xml:space="preserve"> </w:t>
      </w:r>
      <w:r w:rsidRPr="005E106E">
        <w:rPr>
          <w:rFonts w:ascii="Helvetica" w:hAnsi="Helvetica"/>
          <w:sz w:val="20"/>
          <w:szCs w:val="20"/>
        </w:rPr>
        <w:t>anteriores. En particular, los siguientes:</w:t>
      </w:r>
    </w:p>
    <w:p w14:paraId="5606E0C4" w14:textId="77777777" w:rsidR="000723EF" w:rsidRDefault="0042363F" w:rsidP="005E106E">
      <w:pPr>
        <w:pStyle w:val="Default"/>
        <w:keepLines/>
        <w:numPr>
          <w:ilvl w:val="0"/>
          <w:numId w:val="17"/>
        </w:numPr>
        <w:spacing w:line="360" w:lineRule="auto"/>
        <w:ind w:left="1068"/>
        <w:jc w:val="both"/>
        <w:rPr>
          <w:rFonts w:ascii="Helvetica" w:hAnsi="Helvetica"/>
          <w:sz w:val="20"/>
          <w:szCs w:val="20"/>
        </w:rPr>
      </w:pPr>
      <w:r w:rsidRPr="000723EF">
        <w:rPr>
          <w:rFonts w:ascii="Helvetica" w:hAnsi="Helvetica"/>
          <w:sz w:val="20"/>
          <w:szCs w:val="20"/>
        </w:rPr>
        <w:t>Adquisición de materiales, equipos o servicios: factura o documento de valor</w:t>
      </w:r>
      <w:r w:rsidR="000723EF" w:rsidRPr="000723EF">
        <w:rPr>
          <w:rFonts w:ascii="Helvetica" w:hAnsi="Helvetica"/>
          <w:sz w:val="20"/>
          <w:szCs w:val="20"/>
        </w:rPr>
        <w:t xml:space="preserve"> </w:t>
      </w:r>
      <w:r w:rsidRPr="000723EF">
        <w:rPr>
          <w:rFonts w:ascii="Helvetica" w:hAnsi="Helvetica"/>
          <w:sz w:val="20"/>
          <w:szCs w:val="20"/>
        </w:rPr>
        <w:t>probatorio equivalente en el tráfico mercantil o con eficacia administrativa,</w:t>
      </w:r>
      <w:r w:rsidR="000723EF" w:rsidRPr="000723EF">
        <w:rPr>
          <w:rFonts w:ascii="Helvetica" w:hAnsi="Helvetica"/>
          <w:sz w:val="20"/>
          <w:szCs w:val="20"/>
        </w:rPr>
        <w:t xml:space="preserve"> </w:t>
      </w:r>
      <w:r w:rsidRPr="000723EF">
        <w:rPr>
          <w:rFonts w:ascii="Helvetica" w:hAnsi="Helvetica"/>
          <w:sz w:val="20"/>
          <w:szCs w:val="20"/>
        </w:rPr>
        <w:t>con la excepción de las facturas de importe inferior a 3.000 euros, sin</w:t>
      </w:r>
      <w:r w:rsidR="000723EF" w:rsidRPr="000723EF">
        <w:rPr>
          <w:rFonts w:ascii="Helvetica" w:hAnsi="Helvetica"/>
          <w:sz w:val="20"/>
          <w:szCs w:val="20"/>
        </w:rPr>
        <w:t xml:space="preserve"> </w:t>
      </w:r>
      <w:r w:rsidRPr="000723EF">
        <w:rPr>
          <w:rFonts w:ascii="Helvetica" w:hAnsi="Helvetica"/>
          <w:sz w:val="20"/>
          <w:szCs w:val="20"/>
        </w:rPr>
        <w:t>perjuicio de su aportación en cualquier momento posterior, previo</w:t>
      </w:r>
      <w:r w:rsidR="000723EF" w:rsidRPr="000723EF">
        <w:rPr>
          <w:rFonts w:ascii="Helvetica" w:hAnsi="Helvetica"/>
          <w:sz w:val="20"/>
          <w:szCs w:val="20"/>
        </w:rPr>
        <w:t xml:space="preserve"> </w:t>
      </w:r>
      <w:r w:rsidRPr="000723EF">
        <w:rPr>
          <w:rFonts w:ascii="Helvetica" w:hAnsi="Helvetica"/>
          <w:sz w:val="20"/>
          <w:szCs w:val="20"/>
        </w:rPr>
        <w:t>requerimiento.</w:t>
      </w:r>
    </w:p>
    <w:p w14:paraId="5A337D9D" w14:textId="657EF38B" w:rsidR="00343228" w:rsidRPr="000723EF" w:rsidRDefault="0042363F" w:rsidP="005E106E">
      <w:pPr>
        <w:pStyle w:val="Default"/>
        <w:keepLines/>
        <w:numPr>
          <w:ilvl w:val="0"/>
          <w:numId w:val="17"/>
        </w:numPr>
        <w:spacing w:line="360" w:lineRule="auto"/>
        <w:ind w:left="1068"/>
        <w:jc w:val="both"/>
        <w:rPr>
          <w:rFonts w:ascii="Helvetica" w:hAnsi="Helvetica"/>
          <w:sz w:val="20"/>
          <w:szCs w:val="20"/>
        </w:rPr>
      </w:pPr>
      <w:r w:rsidRPr="000723EF">
        <w:rPr>
          <w:rFonts w:ascii="Helvetica" w:hAnsi="Helvetica"/>
          <w:sz w:val="20"/>
          <w:szCs w:val="20"/>
        </w:rPr>
        <w:lastRenderedPageBreak/>
        <w:t>En el caso de consumos internos se adjuntará la información necesaria que</w:t>
      </w:r>
      <w:r w:rsidR="000723EF" w:rsidRPr="000723EF">
        <w:rPr>
          <w:rFonts w:ascii="Helvetica" w:hAnsi="Helvetica"/>
          <w:sz w:val="20"/>
          <w:szCs w:val="20"/>
        </w:rPr>
        <w:t xml:space="preserve"> </w:t>
      </w:r>
      <w:r w:rsidRPr="000723EF">
        <w:rPr>
          <w:rFonts w:ascii="Helvetica" w:hAnsi="Helvetica"/>
          <w:sz w:val="20"/>
          <w:szCs w:val="20"/>
        </w:rPr>
        <w:t>posibilite la trazabilidad de la salida de almacén del material imputable al</w:t>
      </w:r>
      <w:r w:rsidR="000723EF" w:rsidRPr="000723EF">
        <w:rPr>
          <w:rFonts w:ascii="Helvetica" w:hAnsi="Helvetica"/>
          <w:sz w:val="20"/>
          <w:szCs w:val="20"/>
        </w:rPr>
        <w:t xml:space="preserve"> </w:t>
      </w:r>
      <w:r w:rsidRPr="000723EF">
        <w:rPr>
          <w:rFonts w:ascii="Helvetica" w:hAnsi="Helvetica"/>
          <w:sz w:val="20"/>
          <w:szCs w:val="20"/>
        </w:rPr>
        <w:t>proyecto, de forma que sea comprobable la cantidad, precio de salida y el</w:t>
      </w:r>
      <w:r w:rsidR="000723EF" w:rsidRPr="000723EF">
        <w:rPr>
          <w:rFonts w:ascii="Helvetica" w:hAnsi="Helvetica"/>
          <w:sz w:val="20"/>
          <w:szCs w:val="20"/>
        </w:rPr>
        <w:t xml:space="preserve"> </w:t>
      </w:r>
      <w:r w:rsidRPr="000723EF">
        <w:rPr>
          <w:rFonts w:ascii="Helvetica" w:hAnsi="Helvetica"/>
          <w:sz w:val="20"/>
          <w:szCs w:val="20"/>
        </w:rPr>
        <w:t>destino. Además, cuando la valoración no sea a precio medio ponderado se</w:t>
      </w:r>
      <w:r w:rsidR="000723EF" w:rsidRPr="000723EF">
        <w:rPr>
          <w:rFonts w:ascii="Helvetica" w:hAnsi="Helvetica"/>
          <w:sz w:val="20"/>
          <w:szCs w:val="20"/>
        </w:rPr>
        <w:t xml:space="preserve"> </w:t>
      </w:r>
      <w:r w:rsidRPr="000723EF">
        <w:rPr>
          <w:rFonts w:ascii="Helvetica" w:hAnsi="Helvetica"/>
          <w:sz w:val="20"/>
          <w:szCs w:val="20"/>
        </w:rPr>
        <w:t>incluirá la norma de valoración. En cualquier caso y como parte del</w:t>
      </w:r>
      <w:r w:rsidR="00287F50" w:rsidRPr="000723EF">
        <w:rPr>
          <w:rFonts w:ascii="Helvetica" w:hAnsi="Helvetica"/>
          <w:sz w:val="20"/>
          <w:szCs w:val="20"/>
        </w:rPr>
        <w:t xml:space="preserve"> </w:t>
      </w:r>
      <w:r w:rsidR="00343228" w:rsidRPr="000723EF">
        <w:rPr>
          <w:rFonts w:ascii="Helvetica" w:hAnsi="Helvetica"/>
          <w:sz w:val="20"/>
          <w:szCs w:val="20"/>
        </w:rPr>
        <w:t>contenido de la memoria de actuación se documentará la aplicación de la</w:t>
      </w:r>
      <w:r w:rsidR="000723EF" w:rsidRPr="000723EF">
        <w:rPr>
          <w:rFonts w:ascii="Helvetica" w:hAnsi="Helvetica"/>
          <w:sz w:val="20"/>
          <w:szCs w:val="20"/>
        </w:rPr>
        <w:t xml:space="preserve"> </w:t>
      </w:r>
      <w:r w:rsidR="00343228" w:rsidRPr="000723EF">
        <w:rPr>
          <w:rFonts w:ascii="Helvetica" w:hAnsi="Helvetica"/>
          <w:sz w:val="20"/>
          <w:szCs w:val="20"/>
        </w:rPr>
        <w:t>norma contable de valoración de las salidas de almacén, mediante la</w:t>
      </w:r>
      <w:r w:rsidR="000723EF" w:rsidRPr="000723EF">
        <w:rPr>
          <w:rFonts w:ascii="Helvetica" w:hAnsi="Helvetica"/>
          <w:sz w:val="20"/>
          <w:szCs w:val="20"/>
        </w:rPr>
        <w:t xml:space="preserve"> </w:t>
      </w:r>
      <w:r w:rsidR="00343228" w:rsidRPr="000723EF">
        <w:rPr>
          <w:rFonts w:ascii="Helvetica" w:hAnsi="Helvetica"/>
          <w:sz w:val="20"/>
          <w:szCs w:val="20"/>
        </w:rPr>
        <w:t>inclusión del caso de uno de los materiales habitualmente utilizados en este</w:t>
      </w:r>
      <w:r w:rsidR="000723EF">
        <w:rPr>
          <w:rFonts w:ascii="Helvetica" w:hAnsi="Helvetica"/>
          <w:sz w:val="20"/>
          <w:szCs w:val="20"/>
        </w:rPr>
        <w:t xml:space="preserve"> </w:t>
      </w:r>
      <w:r w:rsidR="00343228" w:rsidRPr="000723EF">
        <w:rPr>
          <w:rFonts w:ascii="Helvetica" w:hAnsi="Helvetica"/>
          <w:sz w:val="20"/>
          <w:szCs w:val="20"/>
        </w:rPr>
        <w:t>tipo de proyectos.</w:t>
      </w:r>
    </w:p>
    <w:p w14:paraId="617E12BE" w14:textId="0A293071" w:rsidR="00343228" w:rsidRPr="001A167F" w:rsidRDefault="00343228" w:rsidP="005E106E">
      <w:pPr>
        <w:pStyle w:val="Default"/>
        <w:keepLines/>
        <w:numPr>
          <w:ilvl w:val="0"/>
          <w:numId w:val="17"/>
        </w:numPr>
        <w:spacing w:line="360" w:lineRule="auto"/>
        <w:ind w:left="1068"/>
        <w:jc w:val="both"/>
        <w:rPr>
          <w:rFonts w:ascii="Helvetica" w:hAnsi="Helvetica"/>
          <w:sz w:val="20"/>
          <w:szCs w:val="20"/>
        </w:rPr>
      </w:pPr>
      <w:r w:rsidRPr="001A167F">
        <w:rPr>
          <w:rFonts w:ascii="Helvetica" w:hAnsi="Helvetica"/>
          <w:sz w:val="20"/>
          <w:szCs w:val="20"/>
        </w:rPr>
        <w:t>Pagos: justificantes bancarios del pago de cada factura aportada o</w:t>
      </w:r>
      <w:r w:rsidR="001A167F" w:rsidRPr="001A167F">
        <w:rPr>
          <w:rFonts w:ascii="Helvetica" w:hAnsi="Helvetica"/>
          <w:sz w:val="20"/>
          <w:szCs w:val="20"/>
        </w:rPr>
        <w:t xml:space="preserve"> </w:t>
      </w:r>
      <w:r w:rsidRPr="001A167F">
        <w:rPr>
          <w:rFonts w:ascii="Helvetica" w:hAnsi="Helvetica"/>
          <w:sz w:val="20"/>
          <w:szCs w:val="20"/>
        </w:rPr>
        <w:t>documento de valor probatorio equivalente. Dichos justificantes deberán</w:t>
      </w:r>
      <w:r w:rsidR="001A167F" w:rsidRPr="001A167F">
        <w:rPr>
          <w:rFonts w:ascii="Helvetica" w:hAnsi="Helvetica"/>
          <w:sz w:val="20"/>
          <w:szCs w:val="20"/>
        </w:rPr>
        <w:t xml:space="preserve"> </w:t>
      </w:r>
      <w:r w:rsidRPr="001A167F">
        <w:rPr>
          <w:rFonts w:ascii="Helvetica" w:hAnsi="Helvetica"/>
          <w:sz w:val="20"/>
          <w:szCs w:val="20"/>
        </w:rPr>
        <w:t>permitir la identificación indubitable del documento acreditativo del gasto</w:t>
      </w:r>
      <w:r w:rsidR="001A167F" w:rsidRPr="001A167F">
        <w:rPr>
          <w:rFonts w:ascii="Helvetica" w:hAnsi="Helvetica"/>
          <w:sz w:val="20"/>
          <w:szCs w:val="20"/>
        </w:rPr>
        <w:t xml:space="preserve"> </w:t>
      </w:r>
      <w:r w:rsidRPr="001A167F">
        <w:rPr>
          <w:rFonts w:ascii="Helvetica" w:hAnsi="Helvetica"/>
          <w:sz w:val="20"/>
          <w:szCs w:val="20"/>
        </w:rPr>
        <w:t>que se paga. Las remesas de pagos o pagos agrupados no se consideran</w:t>
      </w:r>
      <w:r w:rsidR="001A167F" w:rsidRPr="001A167F">
        <w:rPr>
          <w:rFonts w:ascii="Helvetica" w:hAnsi="Helvetica"/>
          <w:sz w:val="20"/>
          <w:szCs w:val="20"/>
        </w:rPr>
        <w:t xml:space="preserve"> </w:t>
      </w:r>
      <w:r w:rsidRPr="001A167F">
        <w:rPr>
          <w:rFonts w:ascii="Helvetica" w:hAnsi="Helvetica"/>
          <w:sz w:val="20"/>
          <w:szCs w:val="20"/>
        </w:rPr>
        <w:t>justificantes si no van acompañados del correspondiente extracto de la</w:t>
      </w:r>
      <w:r w:rsidR="001A167F">
        <w:rPr>
          <w:rFonts w:ascii="Helvetica" w:hAnsi="Helvetica"/>
          <w:sz w:val="20"/>
          <w:szCs w:val="20"/>
        </w:rPr>
        <w:t xml:space="preserve"> </w:t>
      </w:r>
      <w:r w:rsidRPr="001A167F">
        <w:rPr>
          <w:rFonts w:ascii="Helvetica" w:hAnsi="Helvetica"/>
          <w:sz w:val="20"/>
          <w:szCs w:val="20"/>
        </w:rPr>
        <w:t>remesa que indique el desglose de los pagos.</w:t>
      </w:r>
    </w:p>
    <w:p w14:paraId="0D08F04A" w14:textId="4F8AE62F" w:rsidR="00343228" w:rsidRPr="00343228" w:rsidRDefault="00343228" w:rsidP="005E106E">
      <w:pPr>
        <w:pStyle w:val="Default"/>
        <w:keepLines/>
        <w:spacing w:line="360" w:lineRule="auto"/>
        <w:ind w:left="1068"/>
        <w:jc w:val="both"/>
        <w:rPr>
          <w:rFonts w:ascii="Helvetica" w:hAnsi="Helvetica"/>
          <w:sz w:val="20"/>
          <w:szCs w:val="20"/>
        </w:rPr>
      </w:pPr>
      <w:r w:rsidRPr="00343228">
        <w:rPr>
          <w:rFonts w:ascii="Helvetica" w:hAnsi="Helvetica"/>
          <w:sz w:val="20"/>
          <w:szCs w:val="20"/>
        </w:rPr>
        <w:t>Se admitirán como justificante de pago las certificaciones emitidas por el</w:t>
      </w:r>
      <w:r w:rsidR="001A167F">
        <w:rPr>
          <w:rFonts w:ascii="Helvetica" w:hAnsi="Helvetica"/>
          <w:sz w:val="20"/>
          <w:szCs w:val="20"/>
        </w:rPr>
        <w:t xml:space="preserve"> </w:t>
      </w:r>
      <w:r w:rsidRPr="00343228">
        <w:rPr>
          <w:rFonts w:ascii="Helvetica" w:hAnsi="Helvetica"/>
          <w:sz w:val="20"/>
          <w:szCs w:val="20"/>
        </w:rPr>
        <w:t>proveedor o por una entidad bancaria en las que declare que la deuda ha</w:t>
      </w:r>
      <w:r w:rsidR="001A167F">
        <w:rPr>
          <w:rFonts w:ascii="Helvetica" w:hAnsi="Helvetica"/>
          <w:sz w:val="20"/>
          <w:szCs w:val="20"/>
        </w:rPr>
        <w:t xml:space="preserve"> </w:t>
      </w:r>
      <w:r w:rsidRPr="00343228">
        <w:rPr>
          <w:rFonts w:ascii="Helvetica" w:hAnsi="Helvetica"/>
          <w:sz w:val="20"/>
          <w:szCs w:val="20"/>
        </w:rPr>
        <w:t>sido saldada, siempre que estén correctamente selladas y firmadas por un</w:t>
      </w:r>
      <w:r w:rsidR="001A167F">
        <w:rPr>
          <w:rFonts w:ascii="Helvetica" w:hAnsi="Helvetica"/>
          <w:sz w:val="20"/>
          <w:szCs w:val="20"/>
        </w:rPr>
        <w:t xml:space="preserve"> </w:t>
      </w:r>
      <w:r w:rsidRPr="00343228">
        <w:rPr>
          <w:rFonts w:ascii="Helvetica" w:hAnsi="Helvetica"/>
          <w:sz w:val="20"/>
          <w:szCs w:val="20"/>
        </w:rPr>
        <w:t>responsable identificado, y recojan un listado con los números de factura,</w:t>
      </w:r>
      <w:r w:rsidR="001A167F">
        <w:rPr>
          <w:rFonts w:ascii="Helvetica" w:hAnsi="Helvetica"/>
          <w:sz w:val="20"/>
          <w:szCs w:val="20"/>
        </w:rPr>
        <w:t xml:space="preserve"> </w:t>
      </w:r>
      <w:r w:rsidRPr="00343228">
        <w:rPr>
          <w:rFonts w:ascii="Helvetica" w:hAnsi="Helvetica"/>
          <w:sz w:val="20"/>
          <w:szCs w:val="20"/>
        </w:rPr>
        <w:t>importes totales pagados y fechas de pago.</w:t>
      </w:r>
    </w:p>
    <w:p w14:paraId="29401D04" w14:textId="4186671D" w:rsidR="00343228" w:rsidRPr="00343228" w:rsidRDefault="00343228" w:rsidP="005E106E">
      <w:pPr>
        <w:pStyle w:val="Default"/>
        <w:keepLines/>
        <w:spacing w:line="360" w:lineRule="auto"/>
        <w:ind w:left="1068"/>
        <w:jc w:val="both"/>
        <w:rPr>
          <w:rFonts w:ascii="Helvetica" w:hAnsi="Helvetica"/>
          <w:sz w:val="20"/>
          <w:szCs w:val="20"/>
        </w:rPr>
      </w:pPr>
      <w:r w:rsidRPr="00343228">
        <w:rPr>
          <w:rFonts w:ascii="Helvetica" w:hAnsi="Helvetica"/>
          <w:sz w:val="20"/>
          <w:szCs w:val="20"/>
        </w:rPr>
        <w:t>Cuando el beneficiario tenga contratado con una entidad financiera un</w:t>
      </w:r>
      <w:r w:rsidR="001A167F">
        <w:rPr>
          <w:rFonts w:ascii="Helvetica" w:hAnsi="Helvetica"/>
          <w:sz w:val="20"/>
          <w:szCs w:val="20"/>
        </w:rPr>
        <w:t xml:space="preserve"> </w:t>
      </w:r>
      <w:r w:rsidRPr="00343228">
        <w:rPr>
          <w:rFonts w:ascii="Helvetica" w:hAnsi="Helvetica"/>
          <w:sz w:val="20"/>
          <w:szCs w:val="20"/>
        </w:rPr>
        <w:t>servicio de gestión de pagos a proveedores (confirming), el certificado podrá</w:t>
      </w:r>
      <w:r w:rsidR="001A167F">
        <w:rPr>
          <w:rFonts w:ascii="Helvetica" w:hAnsi="Helvetica"/>
          <w:sz w:val="20"/>
          <w:szCs w:val="20"/>
        </w:rPr>
        <w:t xml:space="preserve"> </w:t>
      </w:r>
      <w:r w:rsidRPr="00343228">
        <w:rPr>
          <w:rFonts w:ascii="Helvetica" w:hAnsi="Helvetica"/>
          <w:sz w:val="20"/>
          <w:szCs w:val="20"/>
        </w:rPr>
        <w:t>ser emitido por dicha entidad y recogerá como fecha de pago la del</w:t>
      </w:r>
      <w:r w:rsidR="001A167F">
        <w:rPr>
          <w:rFonts w:ascii="Helvetica" w:hAnsi="Helvetica"/>
          <w:sz w:val="20"/>
          <w:szCs w:val="20"/>
        </w:rPr>
        <w:t xml:space="preserve"> </w:t>
      </w:r>
      <w:r w:rsidRPr="00343228">
        <w:rPr>
          <w:rFonts w:ascii="Helvetica" w:hAnsi="Helvetica"/>
          <w:sz w:val="20"/>
          <w:szCs w:val="20"/>
        </w:rPr>
        <w:t>vencimiento, independientemente de si el proveedor recibió el pago de</w:t>
      </w:r>
      <w:r w:rsidR="001A167F">
        <w:rPr>
          <w:rFonts w:ascii="Helvetica" w:hAnsi="Helvetica"/>
          <w:sz w:val="20"/>
          <w:szCs w:val="20"/>
        </w:rPr>
        <w:t xml:space="preserve"> </w:t>
      </w:r>
      <w:r w:rsidRPr="00343228">
        <w:rPr>
          <w:rFonts w:ascii="Helvetica" w:hAnsi="Helvetica"/>
          <w:sz w:val="20"/>
          <w:szCs w:val="20"/>
        </w:rPr>
        <w:t>forma anticipada.</w:t>
      </w:r>
    </w:p>
    <w:p w14:paraId="484B6C3F" w14:textId="18A903F0" w:rsidR="00343228" w:rsidRPr="00343228" w:rsidRDefault="00343228" w:rsidP="005E106E">
      <w:pPr>
        <w:pStyle w:val="Default"/>
        <w:keepLines/>
        <w:spacing w:line="360" w:lineRule="auto"/>
        <w:ind w:left="1068"/>
        <w:jc w:val="both"/>
        <w:rPr>
          <w:rFonts w:ascii="Helvetica" w:hAnsi="Helvetica"/>
          <w:sz w:val="20"/>
          <w:szCs w:val="20"/>
        </w:rPr>
      </w:pPr>
      <w:r w:rsidRPr="00343228">
        <w:rPr>
          <w:rFonts w:ascii="Helvetica" w:hAnsi="Helvetica"/>
          <w:sz w:val="20"/>
          <w:szCs w:val="20"/>
        </w:rPr>
        <w:t>En el caso de consumos internos se adjuntarán los justificantes de pago</w:t>
      </w:r>
      <w:r w:rsidR="001A167F">
        <w:rPr>
          <w:rFonts w:ascii="Helvetica" w:hAnsi="Helvetica"/>
          <w:sz w:val="20"/>
          <w:szCs w:val="20"/>
        </w:rPr>
        <w:t xml:space="preserve"> </w:t>
      </w:r>
      <w:r w:rsidRPr="00343228">
        <w:rPr>
          <w:rFonts w:ascii="Helvetica" w:hAnsi="Helvetica"/>
          <w:sz w:val="20"/>
          <w:szCs w:val="20"/>
        </w:rPr>
        <w:t>relativos a las facturas aportadas.</w:t>
      </w:r>
    </w:p>
    <w:p w14:paraId="262006E0" w14:textId="0DD83CB0" w:rsidR="00343228" w:rsidRPr="00343228" w:rsidRDefault="00343228" w:rsidP="0010337C">
      <w:pPr>
        <w:pStyle w:val="Default"/>
        <w:keepLines/>
        <w:numPr>
          <w:ilvl w:val="0"/>
          <w:numId w:val="18"/>
        </w:numPr>
        <w:spacing w:line="360" w:lineRule="auto"/>
        <w:jc w:val="both"/>
        <w:rPr>
          <w:rFonts w:ascii="Helvetica" w:hAnsi="Helvetica"/>
          <w:sz w:val="20"/>
          <w:szCs w:val="20"/>
        </w:rPr>
      </w:pPr>
      <w:r w:rsidRPr="00343228">
        <w:rPr>
          <w:rFonts w:ascii="Helvetica" w:hAnsi="Helvetica"/>
          <w:sz w:val="20"/>
          <w:szCs w:val="20"/>
        </w:rPr>
        <w:t>Otros documentos que acompañaran a los justificantes de gastos señalados en el</w:t>
      </w:r>
      <w:r w:rsidR="0010337C">
        <w:rPr>
          <w:rFonts w:ascii="Helvetica" w:hAnsi="Helvetica"/>
          <w:sz w:val="20"/>
          <w:szCs w:val="20"/>
        </w:rPr>
        <w:t xml:space="preserve"> </w:t>
      </w:r>
      <w:r w:rsidRPr="00343228">
        <w:rPr>
          <w:rFonts w:ascii="Helvetica" w:hAnsi="Helvetica"/>
          <w:sz w:val="20"/>
          <w:szCs w:val="20"/>
        </w:rPr>
        <w:t>punto anterior:</w:t>
      </w:r>
    </w:p>
    <w:p w14:paraId="34193C13" w14:textId="4DC5A400" w:rsidR="0042363F" w:rsidRPr="0010337C" w:rsidRDefault="00343228" w:rsidP="00EA438D">
      <w:pPr>
        <w:pStyle w:val="Default"/>
        <w:keepLines/>
        <w:numPr>
          <w:ilvl w:val="0"/>
          <w:numId w:val="21"/>
        </w:numPr>
        <w:spacing w:line="360" w:lineRule="auto"/>
        <w:jc w:val="both"/>
        <w:rPr>
          <w:rFonts w:ascii="Helvetica" w:hAnsi="Helvetica"/>
          <w:sz w:val="20"/>
          <w:szCs w:val="20"/>
        </w:rPr>
      </w:pPr>
      <w:r w:rsidRPr="0010337C">
        <w:rPr>
          <w:rFonts w:ascii="Helvetica" w:hAnsi="Helvetica"/>
          <w:sz w:val="20"/>
          <w:szCs w:val="20"/>
        </w:rPr>
        <w:t>Información técnica sobre los equipos y sistemas: breve descripción de sus</w:t>
      </w:r>
      <w:r w:rsidR="0010337C" w:rsidRPr="0010337C">
        <w:rPr>
          <w:rFonts w:ascii="Helvetica" w:hAnsi="Helvetica"/>
          <w:sz w:val="20"/>
          <w:szCs w:val="20"/>
        </w:rPr>
        <w:t xml:space="preserve"> </w:t>
      </w:r>
      <w:r w:rsidRPr="0010337C">
        <w:rPr>
          <w:rFonts w:ascii="Helvetica" w:hAnsi="Helvetica"/>
          <w:sz w:val="20"/>
          <w:szCs w:val="20"/>
        </w:rPr>
        <w:t>características técnicas y posibilidades de uso. En caso de estar disponibles</w:t>
      </w:r>
      <w:r w:rsidR="0010337C">
        <w:rPr>
          <w:rFonts w:ascii="Helvetica" w:hAnsi="Helvetica"/>
          <w:sz w:val="20"/>
          <w:szCs w:val="20"/>
        </w:rPr>
        <w:t xml:space="preserve"> </w:t>
      </w:r>
      <w:r w:rsidRPr="0010337C">
        <w:rPr>
          <w:rFonts w:ascii="Helvetica" w:hAnsi="Helvetica"/>
          <w:sz w:val="20"/>
          <w:szCs w:val="20"/>
        </w:rPr>
        <w:t>en Internet, basta con facilitar el enlace a la página correspondiente.</w:t>
      </w:r>
    </w:p>
    <w:p w14:paraId="48BB731B" w14:textId="728B2B7A" w:rsidR="00FB06CA" w:rsidRPr="0010337C" w:rsidRDefault="00FB06CA" w:rsidP="001630AE">
      <w:pPr>
        <w:pStyle w:val="Default"/>
        <w:keepLines/>
        <w:numPr>
          <w:ilvl w:val="0"/>
          <w:numId w:val="21"/>
        </w:numPr>
        <w:spacing w:line="360" w:lineRule="auto"/>
        <w:jc w:val="both"/>
        <w:rPr>
          <w:rFonts w:ascii="Helvetica" w:hAnsi="Helvetica"/>
          <w:sz w:val="20"/>
          <w:szCs w:val="20"/>
        </w:rPr>
      </w:pPr>
      <w:r w:rsidRPr="0010337C">
        <w:rPr>
          <w:rFonts w:ascii="Helvetica" w:hAnsi="Helvetica"/>
          <w:sz w:val="20"/>
          <w:szCs w:val="20"/>
        </w:rPr>
        <w:t>Identificación de la ubicación física y funcional de los equipos, sistemas y</w:t>
      </w:r>
      <w:r w:rsidR="0010337C" w:rsidRPr="0010337C">
        <w:rPr>
          <w:rFonts w:ascii="Helvetica" w:hAnsi="Helvetica"/>
          <w:sz w:val="20"/>
          <w:szCs w:val="20"/>
        </w:rPr>
        <w:t xml:space="preserve"> </w:t>
      </w:r>
      <w:r w:rsidRPr="0010337C">
        <w:rPr>
          <w:rFonts w:ascii="Helvetica" w:hAnsi="Helvetica"/>
          <w:sz w:val="20"/>
          <w:szCs w:val="20"/>
        </w:rPr>
        <w:t>demás materiales facturados e imputados al proyecto: planes de replanteo,</w:t>
      </w:r>
      <w:r w:rsidR="0010337C">
        <w:rPr>
          <w:rFonts w:ascii="Helvetica" w:hAnsi="Helvetica"/>
          <w:sz w:val="20"/>
          <w:szCs w:val="20"/>
        </w:rPr>
        <w:t xml:space="preserve"> </w:t>
      </w:r>
      <w:r w:rsidRPr="0010337C">
        <w:rPr>
          <w:rFonts w:ascii="Helvetica" w:hAnsi="Helvetica"/>
          <w:sz w:val="20"/>
          <w:szCs w:val="20"/>
        </w:rPr>
        <w:t>programación de las tareas, etc.</w:t>
      </w:r>
    </w:p>
    <w:p w14:paraId="52D973AE" w14:textId="1446DD98" w:rsidR="00FB06CA" w:rsidRPr="0010337C" w:rsidRDefault="00FB06CA" w:rsidP="00A17FBA">
      <w:pPr>
        <w:pStyle w:val="Default"/>
        <w:keepLines/>
        <w:numPr>
          <w:ilvl w:val="0"/>
          <w:numId w:val="21"/>
        </w:numPr>
        <w:spacing w:line="360" w:lineRule="auto"/>
        <w:jc w:val="both"/>
        <w:rPr>
          <w:rFonts w:ascii="Helvetica" w:hAnsi="Helvetica"/>
          <w:sz w:val="20"/>
          <w:szCs w:val="20"/>
        </w:rPr>
      </w:pPr>
      <w:r w:rsidRPr="0010337C">
        <w:rPr>
          <w:rFonts w:ascii="Helvetica" w:hAnsi="Helvetica"/>
          <w:sz w:val="20"/>
          <w:szCs w:val="20"/>
        </w:rPr>
        <w:t>Certificaciones de obra de los gastos imputados en obra civil: documentos</w:t>
      </w:r>
      <w:r w:rsidR="0010337C" w:rsidRPr="0010337C">
        <w:rPr>
          <w:rFonts w:ascii="Helvetica" w:hAnsi="Helvetica"/>
          <w:sz w:val="20"/>
          <w:szCs w:val="20"/>
        </w:rPr>
        <w:t xml:space="preserve"> </w:t>
      </w:r>
      <w:r w:rsidRPr="0010337C">
        <w:rPr>
          <w:rFonts w:ascii="Helvetica" w:hAnsi="Helvetica"/>
          <w:sz w:val="20"/>
          <w:szCs w:val="20"/>
        </w:rPr>
        <w:t>que permitan conocer las partidas del presupuesto consumidas acordes a las</w:t>
      </w:r>
      <w:r w:rsidR="0010337C">
        <w:rPr>
          <w:rFonts w:ascii="Helvetica" w:hAnsi="Helvetica"/>
          <w:sz w:val="20"/>
          <w:szCs w:val="20"/>
        </w:rPr>
        <w:t xml:space="preserve"> </w:t>
      </w:r>
      <w:r w:rsidRPr="0010337C">
        <w:rPr>
          <w:rFonts w:ascii="Helvetica" w:hAnsi="Helvetica"/>
          <w:sz w:val="20"/>
          <w:szCs w:val="20"/>
        </w:rPr>
        <w:t xml:space="preserve">tareas contratadas y al avance de </w:t>
      </w:r>
      <w:proofErr w:type="gramStart"/>
      <w:r w:rsidRPr="0010337C">
        <w:rPr>
          <w:rFonts w:ascii="Helvetica" w:hAnsi="Helvetica"/>
          <w:sz w:val="20"/>
          <w:szCs w:val="20"/>
        </w:rPr>
        <w:t>las mismas</w:t>
      </w:r>
      <w:proofErr w:type="gramEnd"/>
      <w:r w:rsidRPr="0010337C">
        <w:rPr>
          <w:rFonts w:ascii="Helvetica" w:hAnsi="Helvetica"/>
          <w:sz w:val="20"/>
          <w:szCs w:val="20"/>
        </w:rPr>
        <w:t>.</w:t>
      </w:r>
    </w:p>
    <w:p w14:paraId="7F554A31" w14:textId="16E29FED" w:rsidR="00FB06CA" w:rsidRPr="00D2389B" w:rsidRDefault="00FB06CA" w:rsidP="008D3C58">
      <w:pPr>
        <w:pStyle w:val="Default"/>
        <w:keepLines/>
        <w:numPr>
          <w:ilvl w:val="0"/>
          <w:numId w:val="18"/>
        </w:numPr>
        <w:spacing w:line="360" w:lineRule="auto"/>
        <w:jc w:val="both"/>
        <w:rPr>
          <w:rFonts w:ascii="Helvetica" w:hAnsi="Helvetica"/>
          <w:sz w:val="20"/>
          <w:szCs w:val="20"/>
        </w:rPr>
      </w:pPr>
      <w:r w:rsidRPr="00D2389B">
        <w:rPr>
          <w:rFonts w:ascii="Helvetica" w:hAnsi="Helvetica"/>
          <w:sz w:val="20"/>
          <w:szCs w:val="20"/>
        </w:rPr>
        <w:lastRenderedPageBreak/>
        <w:t>Costes directos de personal: al acogerse a la opción de costes de personal</w:t>
      </w:r>
      <w:r w:rsidR="0010337C" w:rsidRPr="00D2389B">
        <w:rPr>
          <w:rFonts w:ascii="Helvetica" w:hAnsi="Helvetica"/>
          <w:sz w:val="20"/>
          <w:szCs w:val="20"/>
        </w:rPr>
        <w:t xml:space="preserve"> </w:t>
      </w:r>
      <w:r w:rsidRPr="00D2389B">
        <w:rPr>
          <w:rFonts w:ascii="Helvetica" w:hAnsi="Helvetica"/>
          <w:sz w:val="20"/>
          <w:szCs w:val="20"/>
        </w:rPr>
        <w:t>simplificados a tipo fijo, se podrán imputar hasta el 20 por ciento de los demás</w:t>
      </w:r>
      <w:r w:rsidR="0010337C" w:rsidRPr="00D2389B">
        <w:rPr>
          <w:rFonts w:ascii="Helvetica" w:hAnsi="Helvetica"/>
          <w:sz w:val="20"/>
          <w:szCs w:val="20"/>
        </w:rPr>
        <w:t xml:space="preserve"> </w:t>
      </w:r>
      <w:r w:rsidRPr="00D2389B">
        <w:rPr>
          <w:rFonts w:ascii="Helvetica" w:hAnsi="Helvetica"/>
          <w:sz w:val="20"/>
          <w:szCs w:val="20"/>
        </w:rPr>
        <w:t>costes directos del proyecto, sin justificación. Se deberá aportar una declaración</w:t>
      </w:r>
      <w:r w:rsidR="00D2389B" w:rsidRPr="00D2389B">
        <w:rPr>
          <w:rFonts w:ascii="Helvetica" w:hAnsi="Helvetica"/>
          <w:sz w:val="20"/>
          <w:szCs w:val="20"/>
        </w:rPr>
        <w:t xml:space="preserve"> </w:t>
      </w:r>
      <w:r w:rsidRPr="00D2389B">
        <w:rPr>
          <w:rFonts w:ascii="Helvetica" w:hAnsi="Helvetica"/>
          <w:sz w:val="20"/>
          <w:szCs w:val="20"/>
        </w:rPr>
        <w:t>responsable indicando que los costes directos de personal imputados no superan</w:t>
      </w:r>
      <w:r w:rsidR="00D2389B" w:rsidRPr="00D2389B">
        <w:rPr>
          <w:rFonts w:ascii="Helvetica" w:hAnsi="Helvetica"/>
          <w:sz w:val="20"/>
          <w:szCs w:val="20"/>
        </w:rPr>
        <w:t xml:space="preserve"> </w:t>
      </w:r>
      <w:r w:rsidRPr="00D2389B">
        <w:rPr>
          <w:rFonts w:ascii="Helvetica" w:hAnsi="Helvetica"/>
          <w:sz w:val="20"/>
          <w:szCs w:val="20"/>
        </w:rPr>
        <w:t>a los costes reales que hayan sido considerados y contabilizados como inversión</w:t>
      </w:r>
      <w:r w:rsidR="00D2389B">
        <w:rPr>
          <w:rFonts w:ascii="Helvetica" w:hAnsi="Helvetica"/>
          <w:sz w:val="20"/>
          <w:szCs w:val="20"/>
        </w:rPr>
        <w:t xml:space="preserve"> </w:t>
      </w:r>
      <w:r w:rsidRPr="00D2389B">
        <w:rPr>
          <w:rFonts w:ascii="Helvetica" w:hAnsi="Helvetica"/>
          <w:sz w:val="20"/>
          <w:szCs w:val="20"/>
        </w:rPr>
        <w:t>por el beneficiario.</w:t>
      </w:r>
    </w:p>
    <w:p w14:paraId="299C43FB" w14:textId="52DAC474" w:rsidR="00FB06CA" w:rsidRPr="000240B2" w:rsidRDefault="00FB06CA" w:rsidP="005D6071">
      <w:pPr>
        <w:pStyle w:val="Default"/>
        <w:keepLines/>
        <w:numPr>
          <w:ilvl w:val="0"/>
          <w:numId w:val="18"/>
        </w:numPr>
        <w:spacing w:line="360" w:lineRule="auto"/>
        <w:jc w:val="both"/>
        <w:rPr>
          <w:rFonts w:ascii="Helvetica" w:hAnsi="Helvetica"/>
          <w:sz w:val="20"/>
          <w:szCs w:val="20"/>
        </w:rPr>
      </w:pPr>
      <w:r w:rsidRPr="000240B2">
        <w:rPr>
          <w:rFonts w:ascii="Helvetica" w:hAnsi="Helvetica"/>
          <w:sz w:val="20"/>
          <w:szCs w:val="20"/>
        </w:rPr>
        <w:t>Costes indirectos: al acogerse a la opción de costes indirectos simplificados a tipo</w:t>
      </w:r>
      <w:r w:rsidR="00D2389B" w:rsidRPr="000240B2">
        <w:rPr>
          <w:rFonts w:ascii="Helvetica" w:hAnsi="Helvetica"/>
          <w:sz w:val="20"/>
          <w:szCs w:val="20"/>
        </w:rPr>
        <w:t xml:space="preserve"> </w:t>
      </w:r>
      <w:r w:rsidRPr="000240B2">
        <w:rPr>
          <w:rFonts w:ascii="Helvetica" w:hAnsi="Helvetica"/>
          <w:sz w:val="20"/>
          <w:szCs w:val="20"/>
        </w:rPr>
        <w:t>fijo, se podrán imputar hasta un 15 por ciento de los costes directos de personal</w:t>
      </w:r>
      <w:r w:rsidR="00D2389B" w:rsidRPr="000240B2">
        <w:rPr>
          <w:rFonts w:ascii="Helvetica" w:hAnsi="Helvetica"/>
          <w:sz w:val="20"/>
          <w:szCs w:val="20"/>
        </w:rPr>
        <w:t xml:space="preserve"> </w:t>
      </w:r>
      <w:r w:rsidRPr="000240B2">
        <w:rPr>
          <w:rFonts w:ascii="Helvetica" w:hAnsi="Helvetica"/>
          <w:sz w:val="20"/>
          <w:szCs w:val="20"/>
        </w:rPr>
        <w:t>subvencionables sin justificación. Se deberá aportar una declaración responsable</w:t>
      </w:r>
      <w:r w:rsidR="000240B2" w:rsidRPr="000240B2">
        <w:rPr>
          <w:rFonts w:ascii="Helvetica" w:hAnsi="Helvetica"/>
          <w:sz w:val="20"/>
          <w:szCs w:val="20"/>
        </w:rPr>
        <w:t xml:space="preserve"> </w:t>
      </w:r>
      <w:r w:rsidRPr="000240B2">
        <w:rPr>
          <w:rFonts w:ascii="Helvetica" w:hAnsi="Helvetica"/>
          <w:sz w:val="20"/>
          <w:szCs w:val="20"/>
        </w:rPr>
        <w:t>indicando que los costes indirectos imputados no superan los costes reales</w:t>
      </w:r>
      <w:r w:rsidR="000240B2" w:rsidRPr="000240B2">
        <w:rPr>
          <w:rFonts w:ascii="Helvetica" w:hAnsi="Helvetica"/>
          <w:sz w:val="20"/>
          <w:szCs w:val="20"/>
        </w:rPr>
        <w:t xml:space="preserve"> </w:t>
      </w:r>
      <w:r w:rsidRPr="000240B2">
        <w:rPr>
          <w:rFonts w:ascii="Helvetica" w:hAnsi="Helvetica"/>
          <w:sz w:val="20"/>
          <w:szCs w:val="20"/>
        </w:rPr>
        <w:t>asociados a los conceptos subvencionados que hayan sido considerados y</w:t>
      </w:r>
      <w:r w:rsidR="000240B2">
        <w:rPr>
          <w:rFonts w:ascii="Helvetica" w:hAnsi="Helvetica"/>
          <w:sz w:val="20"/>
          <w:szCs w:val="20"/>
        </w:rPr>
        <w:t xml:space="preserve"> </w:t>
      </w:r>
      <w:r w:rsidRPr="000240B2">
        <w:rPr>
          <w:rFonts w:ascii="Helvetica" w:hAnsi="Helvetica"/>
          <w:sz w:val="20"/>
          <w:szCs w:val="20"/>
        </w:rPr>
        <w:t>contabilizados como inversión por el beneficiario.</w:t>
      </w:r>
    </w:p>
    <w:p w14:paraId="3D31A0CC" w14:textId="6696E418" w:rsidR="00FB06CA" w:rsidRPr="000240B2" w:rsidRDefault="00FB06CA" w:rsidP="00CA795A">
      <w:pPr>
        <w:pStyle w:val="Default"/>
        <w:keepLines/>
        <w:numPr>
          <w:ilvl w:val="0"/>
          <w:numId w:val="18"/>
        </w:numPr>
        <w:spacing w:line="360" w:lineRule="auto"/>
        <w:jc w:val="both"/>
        <w:rPr>
          <w:rFonts w:ascii="Helvetica" w:hAnsi="Helvetica"/>
          <w:sz w:val="20"/>
          <w:szCs w:val="20"/>
        </w:rPr>
      </w:pPr>
      <w:r w:rsidRPr="000240B2">
        <w:rPr>
          <w:rFonts w:ascii="Helvetica" w:hAnsi="Helvetica"/>
          <w:sz w:val="20"/>
          <w:szCs w:val="20"/>
        </w:rPr>
        <w:t>Justificación de que el coste de adquisición de los gastos subvencionables no es</w:t>
      </w:r>
      <w:r w:rsidR="000240B2" w:rsidRPr="000240B2">
        <w:rPr>
          <w:rFonts w:ascii="Helvetica" w:hAnsi="Helvetica"/>
          <w:sz w:val="20"/>
          <w:szCs w:val="20"/>
        </w:rPr>
        <w:t xml:space="preserve"> </w:t>
      </w:r>
      <w:r w:rsidRPr="000240B2">
        <w:rPr>
          <w:rFonts w:ascii="Helvetica" w:hAnsi="Helvetica"/>
          <w:sz w:val="20"/>
          <w:szCs w:val="20"/>
        </w:rPr>
        <w:t>superior al valor de mercado. Para ello se deberán haber tenido en cuenta tres</w:t>
      </w:r>
      <w:r w:rsidR="000240B2" w:rsidRPr="000240B2">
        <w:rPr>
          <w:rFonts w:ascii="Helvetica" w:hAnsi="Helvetica"/>
          <w:sz w:val="20"/>
          <w:szCs w:val="20"/>
        </w:rPr>
        <w:t xml:space="preserve"> </w:t>
      </w:r>
      <w:r w:rsidRPr="000240B2">
        <w:rPr>
          <w:rFonts w:ascii="Helvetica" w:hAnsi="Helvetica"/>
          <w:sz w:val="20"/>
          <w:szCs w:val="20"/>
        </w:rPr>
        <w:t>ofertas, como mínimo, de diferentes proveedores, cuando el importe del gasto</w:t>
      </w:r>
      <w:r w:rsidR="000240B2" w:rsidRPr="000240B2">
        <w:rPr>
          <w:rFonts w:ascii="Helvetica" w:hAnsi="Helvetica"/>
          <w:sz w:val="20"/>
          <w:szCs w:val="20"/>
        </w:rPr>
        <w:t xml:space="preserve"> </w:t>
      </w:r>
      <w:r w:rsidRPr="000240B2">
        <w:rPr>
          <w:rFonts w:ascii="Helvetica" w:hAnsi="Helvetica"/>
          <w:sz w:val="20"/>
          <w:szCs w:val="20"/>
        </w:rPr>
        <w:t>subvencionable supere las cuantías de 40.000€ en caso de obras y de 15.000€ para</w:t>
      </w:r>
      <w:r w:rsidR="000240B2" w:rsidRPr="000240B2">
        <w:rPr>
          <w:rFonts w:ascii="Helvetica" w:hAnsi="Helvetica"/>
          <w:sz w:val="20"/>
          <w:szCs w:val="20"/>
        </w:rPr>
        <w:t xml:space="preserve"> </w:t>
      </w:r>
      <w:r w:rsidRPr="000240B2">
        <w:rPr>
          <w:rFonts w:ascii="Helvetica" w:hAnsi="Helvetica"/>
          <w:sz w:val="20"/>
          <w:szCs w:val="20"/>
        </w:rPr>
        <w:t>otros contratos, ambos sin IVA, debiendo incorporar una justificación expresa</w:t>
      </w:r>
      <w:r w:rsidR="000240B2">
        <w:rPr>
          <w:rFonts w:ascii="Helvetica" w:hAnsi="Helvetica"/>
          <w:sz w:val="20"/>
          <w:szCs w:val="20"/>
        </w:rPr>
        <w:t xml:space="preserve"> </w:t>
      </w:r>
      <w:r w:rsidRPr="000240B2">
        <w:rPr>
          <w:rFonts w:ascii="Helvetica" w:hAnsi="Helvetica"/>
          <w:sz w:val="20"/>
          <w:szCs w:val="20"/>
        </w:rPr>
        <w:t>cuando la elección no recaiga en la propuesta económica más ventajosa.</w:t>
      </w:r>
    </w:p>
    <w:p w14:paraId="54615569" w14:textId="088B0BAC" w:rsidR="00FB06CA" w:rsidRPr="00FB06CA" w:rsidRDefault="00FB06CA" w:rsidP="000240B2">
      <w:pPr>
        <w:pStyle w:val="Default"/>
        <w:keepLines/>
        <w:spacing w:line="360" w:lineRule="auto"/>
        <w:ind w:left="720"/>
        <w:jc w:val="both"/>
        <w:rPr>
          <w:rFonts w:ascii="Helvetica" w:hAnsi="Helvetica"/>
          <w:sz w:val="20"/>
          <w:szCs w:val="20"/>
        </w:rPr>
      </w:pPr>
      <w:r w:rsidRPr="00FB06CA">
        <w:rPr>
          <w:rFonts w:ascii="Helvetica" w:hAnsi="Helvetica"/>
          <w:sz w:val="20"/>
          <w:szCs w:val="20"/>
        </w:rPr>
        <w:t>Si el proceso de selección de algún proveedor de los incluidos en el supuesto</w:t>
      </w:r>
      <w:r w:rsidR="000240B2">
        <w:rPr>
          <w:rFonts w:ascii="Helvetica" w:hAnsi="Helvetica"/>
          <w:sz w:val="20"/>
          <w:szCs w:val="20"/>
        </w:rPr>
        <w:t xml:space="preserve"> </w:t>
      </w:r>
      <w:r w:rsidRPr="00FB06CA">
        <w:rPr>
          <w:rFonts w:ascii="Helvetica" w:hAnsi="Helvetica"/>
          <w:sz w:val="20"/>
          <w:szCs w:val="20"/>
        </w:rPr>
        <w:t>anterior, no se hubiera realizado específicamente para este proyecto por formar</w:t>
      </w:r>
      <w:r w:rsidR="000240B2">
        <w:rPr>
          <w:rFonts w:ascii="Helvetica" w:hAnsi="Helvetica"/>
          <w:sz w:val="20"/>
          <w:szCs w:val="20"/>
        </w:rPr>
        <w:t xml:space="preserve"> </w:t>
      </w:r>
      <w:r w:rsidRPr="00FB06CA">
        <w:rPr>
          <w:rFonts w:ascii="Helvetica" w:hAnsi="Helvetica"/>
          <w:sz w:val="20"/>
          <w:szCs w:val="20"/>
        </w:rPr>
        <w:t>parte de un procedimiento general del operador, se deberá aportar una</w:t>
      </w:r>
      <w:r w:rsidR="000240B2">
        <w:rPr>
          <w:rFonts w:ascii="Helvetica" w:hAnsi="Helvetica"/>
          <w:sz w:val="20"/>
          <w:szCs w:val="20"/>
        </w:rPr>
        <w:t xml:space="preserve"> </w:t>
      </w:r>
      <w:r w:rsidRPr="00FB06CA">
        <w:rPr>
          <w:rFonts w:ascii="Helvetica" w:hAnsi="Helvetica"/>
          <w:sz w:val="20"/>
          <w:szCs w:val="20"/>
        </w:rPr>
        <w:t>descripción del procedimiento de selección utilizado y los resultados alcanzados o</w:t>
      </w:r>
      <w:r w:rsidR="000240B2">
        <w:rPr>
          <w:rFonts w:ascii="Helvetica" w:hAnsi="Helvetica"/>
          <w:sz w:val="20"/>
          <w:szCs w:val="20"/>
        </w:rPr>
        <w:t xml:space="preserve"> </w:t>
      </w:r>
      <w:r w:rsidRPr="00FB06CA">
        <w:rPr>
          <w:rFonts w:ascii="Helvetica" w:hAnsi="Helvetica"/>
          <w:sz w:val="20"/>
          <w:szCs w:val="20"/>
        </w:rPr>
        <w:t>vigentes (identificación del proveedor o proveedores seleccionados) en relación</w:t>
      </w:r>
      <w:r w:rsidR="000240B2">
        <w:rPr>
          <w:rFonts w:ascii="Helvetica" w:hAnsi="Helvetica"/>
          <w:sz w:val="20"/>
          <w:szCs w:val="20"/>
        </w:rPr>
        <w:t xml:space="preserve"> </w:t>
      </w:r>
      <w:r w:rsidRPr="00FB06CA">
        <w:rPr>
          <w:rFonts w:ascii="Helvetica" w:hAnsi="Helvetica"/>
          <w:sz w:val="20"/>
          <w:szCs w:val="20"/>
        </w:rPr>
        <w:t>con el bien o servicio considerado.</w:t>
      </w:r>
    </w:p>
    <w:p w14:paraId="564C64C1" w14:textId="36828C0D" w:rsidR="00FB06CA" w:rsidRPr="00FB06CA" w:rsidRDefault="00FB06CA" w:rsidP="000240B2">
      <w:pPr>
        <w:pStyle w:val="Default"/>
        <w:keepLines/>
        <w:spacing w:line="360" w:lineRule="auto"/>
        <w:ind w:left="720"/>
        <w:jc w:val="both"/>
        <w:rPr>
          <w:rFonts w:ascii="Helvetica" w:hAnsi="Helvetica"/>
          <w:sz w:val="20"/>
          <w:szCs w:val="20"/>
        </w:rPr>
      </w:pPr>
      <w:r w:rsidRPr="00FB06CA">
        <w:rPr>
          <w:rFonts w:ascii="Helvetica" w:hAnsi="Helvetica"/>
          <w:sz w:val="20"/>
          <w:szCs w:val="20"/>
        </w:rPr>
        <w:t xml:space="preserve">De acuerdo con lo dispuesto en el artículo </w:t>
      </w:r>
      <w:r w:rsidR="001F707F">
        <w:rPr>
          <w:rFonts w:ascii="Helvetica" w:hAnsi="Helvetica"/>
          <w:sz w:val="20"/>
          <w:szCs w:val="20"/>
        </w:rPr>
        <w:t>27</w:t>
      </w:r>
      <w:r w:rsidRPr="00FB06CA">
        <w:rPr>
          <w:rFonts w:ascii="Helvetica" w:hAnsi="Helvetica"/>
          <w:sz w:val="20"/>
          <w:szCs w:val="20"/>
        </w:rPr>
        <w:t>.</w:t>
      </w:r>
      <w:r w:rsidR="001F707F">
        <w:rPr>
          <w:rFonts w:ascii="Helvetica" w:hAnsi="Helvetica"/>
          <w:sz w:val="20"/>
          <w:szCs w:val="20"/>
        </w:rPr>
        <w:t>3</w:t>
      </w:r>
      <w:r w:rsidRPr="00FB06CA">
        <w:rPr>
          <w:rFonts w:ascii="Helvetica" w:hAnsi="Helvetica"/>
          <w:sz w:val="20"/>
          <w:szCs w:val="20"/>
        </w:rPr>
        <w:t>.c) de las bases reguladoras, si</w:t>
      </w:r>
      <w:r w:rsidR="000240B2">
        <w:rPr>
          <w:rFonts w:ascii="Helvetica" w:hAnsi="Helvetica"/>
          <w:sz w:val="20"/>
          <w:szCs w:val="20"/>
        </w:rPr>
        <w:t xml:space="preserve"> </w:t>
      </w:r>
      <w:r w:rsidRPr="00FB06CA">
        <w:rPr>
          <w:rFonts w:ascii="Helvetica" w:hAnsi="Helvetica"/>
          <w:sz w:val="20"/>
          <w:szCs w:val="20"/>
        </w:rPr>
        <w:t>siendo preceptiva la solicitud de varias ofertas, éstas no se aportaran o la</w:t>
      </w:r>
      <w:r w:rsidR="000240B2">
        <w:rPr>
          <w:rFonts w:ascii="Helvetica" w:hAnsi="Helvetica"/>
          <w:sz w:val="20"/>
          <w:szCs w:val="20"/>
        </w:rPr>
        <w:t xml:space="preserve"> </w:t>
      </w:r>
      <w:r w:rsidRPr="00FB06CA">
        <w:rPr>
          <w:rFonts w:ascii="Helvetica" w:hAnsi="Helvetica"/>
          <w:sz w:val="20"/>
          <w:szCs w:val="20"/>
        </w:rPr>
        <w:t>adjudicación hubiera recaído, sin adecuada justificación, en una que no fuera la</w:t>
      </w:r>
      <w:r>
        <w:rPr>
          <w:rFonts w:ascii="Helvetica" w:hAnsi="Helvetica"/>
          <w:sz w:val="20"/>
          <w:szCs w:val="20"/>
        </w:rPr>
        <w:t xml:space="preserve"> </w:t>
      </w:r>
      <w:r w:rsidRPr="00FB06CA">
        <w:rPr>
          <w:rFonts w:ascii="Helvetica" w:hAnsi="Helvetica"/>
          <w:sz w:val="20"/>
          <w:szCs w:val="20"/>
        </w:rPr>
        <w:t>más favorable económicamente, el órgano encargado del seguimiento de las</w:t>
      </w:r>
      <w:r w:rsidR="000240B2">
        <w:rPr>
          <w:rFonts w:ascii="Helvetica" w:hAnsi="Helvetica"/>
          <w:sz w:val="20"/>
          <w:szCs w:val="20"/>
        </w:rPr>
        <w:t xml:space="preserve"> </w:t>
      </w:r>
      <w:proofErr w:type="gramStart"/>
      <w:r w:rsidRPr="00FB06CA">
        <w:rPr>
          <w:rFonts w:ascii="Helvetica" w:hAnsi="Helvetica"/>
          <w:sz w:val="20"/>
          <w:szCs w:val="20"/>
        </w:rPr>
        <w:t>ayudas,</w:t>
      </w:r>
      <w:proofErr w:type="gramEnd"/>
      <w:r w:rsidRPr="00FB06CA">
        <w:rPr>
          <w:rFonts w:ascii="Helvetica" w:hAnsi="Helvetica"/>
          <w:sz w:val="20"/>
          <w:szCs w:val="20"/>
        </w:rPr>
        <w:t xml:space="preserve"> podrá recabar una tasación pericial del bien o servicio, siendo de cuenta</w:t>
      </w:r>
      <w:r w:rsidR="000240B2">
        <w:rPr>
          <w:rFonts w:ascii="Helvetica" w:hAnsi="Helvetica"/>
          <w:sz w:val="20"/>
          <w:szCs w:val="20"/>
        </w:rPr>
        <w:t xml:space="preserve"> </w:t>
      </w:r>
      <w:r w:rsidRPr="00FB06CA">
        <w:rPr>
          <w:rFonts w:ascii="Helvetica" w:hAnsi="Helvetica"/>
          <w:sz w:val="20"/>
          <w:szCs w:val="20"/>
        </w:rPr>
        <w:t>del beneficiario los gastos que se ocasionen. En tal caso, la ayuda se calculará</w:t>
      </w:r>
      <w:r w:rsidR="000240B2">
        <w:rPr>
          <w:rFonts w:ascii="Helvetica" w:hAnsi="Helvetica"/>
          <w:sz w:val="20"/>
          <w:szCs w:val="20"/>
        </w:rPr>
        <w:t xml:space="preserve"> </w:t>
      </w:r>
      <w:r w:rsidRPr="00FB06CA">
        <w:rPr>
          <w:rFonts w:ascii="Helvetica" w:hAnsi="Helvetica"/>
          <w:sz w:val="20"/>
          <w:szCs w:val="20"/>
        </w:rPr>
        <w:t>tomando como referencia el menor de los dos valores: el declarado por el</w:t>
      </w:r>
      <w:r w:rsidR="000240B2">
        <w:rPr>
          <w:rFonts w:ascii="Helvetica" w:hAnsi="Helvetica"/>
          <w:sz w:val="20"/>
          <w:szCs w:val="20"/>
        </w:rPr>
        <w:t xml:space="preserve"> </w:t>
      </w:r>
      <w:r w:rsidRPr="00FB06CA">
        <w:rPr>
          <w:rFonts w:ascii="Helvetica" w:hAnsi="Helvetica"/>
          <w:sz w:val="20"/>
          <w:szCs w:val="20"/>
        </w:rPr>
        <w:t>beneficiario o el resultante de la tasación.</w:t>
      </w:r>
    </w:p>
    <w:p w14:paraId="719569DC" w14:textId="084DE07A" w:rsidR="00FB06CA" w:rsidRPr="000240B2" w:rsidRDefault="00FB06CA" w:rsidP="00DF5A48">
      <w:pPr>
        <w:pStyle w:val="Default"/>
        <w:keepLines/>
        <w:numPr>
          <w:ilvl w:val="0"/>
          <w:numId w:val="18"/>
        </w:numPr>
        <w:spacing w:line="360" w:lineRule="auto"/>
        <w:jc w:val="both"/>
        <w:rPr>
          <w:rFonts w:ascii="Helvetica" w:hAnsi="Helvetica"/>
          <w:sz w:val="20"/>
          <w:szCs w:val="20"/>
        </w:rPr>
      </w:pPr>
      <w:r w:rsidRPr="000240B2">
        <w:rPr>
          <w:rFonts w:ascii="Helvetica" w:hAnsi="Helvetica"/>
          <w:sz w:val="20"/>
          <w:szCs w:val="20"/>
        </w:rPr>
        <w:t>Copia de los contratos de las actividades subcontratadas, en su caso, conforme a</w:t>
      </w:r>
      <w:r w:rsidR="000240B2">
        <w:rPr>
          <w:rFonts w:ascii="Helvetica" w:hAnsi="Helvetica"/>
          <w:sz w:val="20"/>
          <w:szCs w:val="20"/>
        </w:rPr>
        <w:t xml:space="preserve"> </w:t>
      </w:r>
      <w:r w:rsidRPr="000240B2">
        <w:rPr>
          <w:rFonts w:ascii="Helvetica" w:hAnsi="Helvetica"/>
          <w:sz w:val="20"/>
          <w:szCs w:val="20"/>
        </w:rPr>
        <w:t xml:space="preserve">lo establecido en los artículos </w:t>
      </w:r>
      <w:r w:rsidR="00612AB8">
        <w:rPr>
          <w:rFonts w:ascii="Helvetica" w:hAnsi="Helvetica"/>
          <w:sz w:val="20"/>
          <w:szCs w:val="20"/>
        </w:rPr>
        <w:t>25</w:t>
      </w:r>
      <w:r w:rsidRPr="000240B2">
        <w:rPr>
          <w:rFonts w:ascii="Helvetica" w:hAnsi="Helvetica"/>
          <w:sz w:val="20"/>
          <w:szCs w:val="20"/>
        </w:rPr>
        <w:t xml:space="preserve">.3 y </w:t>
      </w:r>
      <w:r w:rsidR="00612AB8">
        <w:rPr>
          <w:rFonts w:ascii="Helvetica" w:hAnsi="Helvetica"/>
          <w:sz w:val="20"/>
          <w:szCs w:val="20"/>
        </w:rPr>
        <w:t>25</w:t>
      </w:r>
      <w:r w:rsidRPr="000240B2">
        <w:rPr>
          <w:rFonts w:ascii="Helvetica" w:hAnsi="Helvetica"/>
          <w:sz w:val="20"/>
          <w:szCs w:val="20"/>
        </w:rPr>
        <w:t>.4 de las bases reguladoras.</w:t>
      </w:r>
    </w:p>
    <w:p w14:paraId="11423E7B" w14:textId="51192EDA" w:rsidR="000240B2" w:rsidRDefault="00FB06CA" w:rsidP="00B10E30">
      <w:pPr>
        <w:pStyle w:val="Default"/>
        <w:keepLines/>
        <w:numPr>
          <w:ilvl w:val="0"/>
          <w:numId w:val="18"/>
        </w:numPr>
        <w:spacing w:line="360" w:lineRule="auto"/>
        <w:jc w:val="both"/>
        <w:rPr>
          <w:rFonts w:ascii="Helvetica" w:hAnsi="Helvetica"/>
          <w:sz w:val="20"/>
          <w:szCs w:val="20"/>
        </w:rPr>
      </w:pPr>
      <w:r w:rsidRPr="000240B2">
        <w:rPr>
          <w:rFonts w:ascii="Helvetica" w:hAnsi="Helvetica"/>
          <w:sz w:val="20"/>
          <w:szCs w:val="20"/>
        </w:rPr>
        <w:t>Una descripción de cómo se ha dado cumplimiento a las condiciones específicas a</w:t>
      </w:r>
      <w:r w:rsidR="000240B2" w:rsidRPr="000240B2">
        <w:rPr>
          <w:rFonts w:ascii="Helvetica" w:hAnsi="Helvetica"/>
          <w:sz w:val="20"/>
          <w:szCs w:val="20"/>
        </w:rPr>
        <w:t xml:space="preserve"> </w:t>
      </w:r>
      <w:r w:rsidRPr="000240B2">
        <w:rPr>
          <w:rFonts w:ascii="Helvetica" w:hAnsi="Helvetica"/>
          <w:sz w:val="20"/>
          <w:szCs w:val="20"/>
        </w:rPr>
        <w:t>respetar en relación con el principio de no causar daño significativo (DNSH) que se</w:t>
      </w:r>
      <w:r w:rsidR="000240B2" w:rsidRPr="000240B2">
        <w:rPr>
          <w:rFonts w:ascii="Helvetica" w:hAnsi="Helvetica"/>
          <w:sz w:val="20"/>
          <w:szCs w:val="20"/>
        </w:rPr>
        <w:t xml:space="preserve"> </w:t>
      </w:r>
      <w:r w:rsidRPr="000240B2">
        <w:rPr>
          <w:rFonts w:ascii="Helvetica" w:hAnsi="Helvetica"/>
          <w:sz w:val="20"/>
          <w:szCs w:val="20"/>
        </w:rPr>
        <w:t>recogen en el Anexo V de esta Convocatoria</w:t>
      </w:r>
      <w:r w:rsidR="009C6DD5">
        <w:rPr>
          <w:rFonts w:ascii="Helvetica" w:hAnsi="Helvetica"/>
          <w:sz w:val="20"/>
          <w:szCs w:val="20"/>
        </w:rPr>
        <w:t xml:space="preserve"> y en el artículo 24 de las bases reguladoras</w:t>
      </w:r>
      <w:r w:rsidRPr="000240B2">
        <w:rPr>
          <w:rFonts w:ascii="Helvetica" w:hAnsi="Helvetica"/>
          <w:sz w:val="20"/>
          <w:szCs w:val="20"/>
        </w:rPr>
        <w:t>.</w:t>
      </w:r>
      <w:r w:rsidR="000240B2">
        <w:rPr>
          <w:rFonts w:ascii="Helvetica" w:hAnsi="Helvetica"/>
          <w:sz w:val="20"/>
          <w:szCs w:val="20"/>
        </w:rPr>
        <w:t xml:space="preserve"> </w:t>
      </w:r>
    </w:p>
    <w:p w14:paraId="7AC6C40D" w14:textId="097CBBEE" w:rsidR="00FB06CA" w:rsidRPr="000240B2" w:rsidRDefault="00FB06CA" w:rsidP="000240B2">
      <w:pPr>
        <w:pStyle w:val="Default"/>
        <w:keepLines/>
        <w:spacing w:line="360" w:lineRule="auto"/>
        <w:ind w:left="720"/>
        <w:jc w:val="both"/>
        <w:rPr>
          <w:rFonts w:ascii="Helvetica" w:hAnsi="Helvetica"/>
          <w:sz w:val="20"/>
          <w:szCs w:val="20"/>
        </w:rPr>
      </w:pPr>
      <w:r w:rsidRPr="000240B2">
        <w:rPr>
          <w:rFonts w:ascii="Helvetica" w:hAnsi="Helvetica"/>
          <w:sz w:val="20"/>
          <w:szCs w:val="20"/>
        </w:rPr>
        <w:t>Los archivos que forman parte de la cuenta justificativa se presentarán adecuadamente</w:t>
      </w:r>
    </w:p>
    <w:p w14:paraId="09F096B4" w14:textId="55E42875" w:rsidR="00FB06CA" w:rsidRPr="000240B2" w:rsidRDefault="00FB06CA" w:rsidP="000240B2">
      <w:pPr>
        <w:pStyle w:val="Default"/>
        <w:keepLines/>
        <w:spacing w:line="360" w:lineRule="auto"/>
        <w:ind w:left="720"/>
        <w:jc w:val="both"/>
        <w:rPr>
          <w:rFonts w:ascii="Helvetica" w:hAnsi="Helvetica"/>
          <w:sz w:val="20"/>
          <w:szCs w:val="20"/>
        </w:rPr>
      </w:pPr>
      <w:r w:rsidRPr="000240B2">
        <w:rPr>
          <w:rFonts w:ascii="Helvetica" w:hAnsi="Helvetica"/>
          <w:sz w:val="20"/>
          <w:szCs w:val="20"/>
        </w:rPr>
        <w:lastRenderedPageBreak/>
        <w:t>nombrados según las indicaciones proporcionadas por el órgano encargado del</w:t>
      </w:r>
      <w:r w:rsidR="000240B2" w:rsidRPr="000240B2">
        <w:rPr>
          <w:rFonts w:ascii="Helvetica" w:hAnsi="Helvetica"/>
          <w:sz w:val="20"/>
          <w:szCs w:val="20"/>
        </w:rPr>
        <w:t xml:space="preserve"> </w:t>
      </w:r>
      <w:r w:rsidRPr="000240B2">
        <w:rPr>
          <w:rFonts w:ascii="Helvetica" w:hAnsi="Helvetica"/>
          <w:sz w:val="20"/>
          <w:szCs w:val="20"/>
        </w:rPr>
        <w:t>seguimiento de las ayudas o, en su defecto, según las recogidas en la sede electrónica de</w:t>
      </w:r>
      <w:r w:rsidR="000240B2" w:rsidRPr="000240B2">
        <w:rPr>
          <w:rFonts w:ascii="Helvetica" w:hAnsi="Helvetica"/>
          <w:sz w:val="20"/>
          <w:szCs w:val="20"/>
        </w:rPr>
        <w:t xml:space="preserve"> </w:t>
      </w:r>
      <w:r w:rsidRPr="000240B2">
        <w:rPr>
          <w:rFonts w:ascii="Helvetica" w:hAnsi="Helvetica"/>
          <w:sz w:val="20"/>
          <w:szCs w:val="20"/>
        </w:rPr>
        <w:t>la Secretaría de Estado de Telecomunicaciones e Infraestructuras Digitales del Ministerio</w:t>
      </w:r>
      <w:r w:rsidR="000240B2">
        <w:rPr>
          <w:rFonts w:ascii="Helvetica" w:hAnsi="Helvetica"/>
          <w:sz w:val="20"/>
          <w:szCs w:val="20"/>
        </w:rPr>
        <w:t xml:space="preserve"> </w:t>
      </w:r>
      <w:r w:rsidRPr="000240B2">
        <w:rPr>
          <w:rFonts w:ascii="Helvetica" w:hAnsi="Helvetica"/>
          <w:sz w:val="20"/>
          <w:szCs w:val="20"/>
        </w:rPr>
        <w:t>de Asuntos Económicos y Transición Digital (https://sede.mineco.gob.es/).</w:t>
      </w:r>
      <w:r w:rsidRPr="000240B2">
        <w:rPr>
          <w:rFonts w:ascii="Helvetica" w:hAnsi="Helvetica"/>
          <w:sz w:val="20"/>
          <w:szCs w:val="20"/>
        </w:rPr>
        <w:cr/>
      </w:r>
    </w:p>
    <w:sectPr w:rsidR="00FB06CA" w:rsidRPr="000240B2" w:rsidSect="007D5DBF">
      <w:headerReference w:type="default" r:id="rId14"/>
      <w:footerReference w:type="default" r:id="rId15"/>
      <w:pgSz w:w="11906" w:h="16838"/>
      <w:pgMar w:top="1417" w:right="1701" w:bottom="1417" w:left="1701" w:header="283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FDA06" w14:textId="77777777" w:rsidR="009E57FF" w:rsidRDefault="009E57FF" w:rsidP="008776AF">
      <w:pPr>
        <w:spacing w:after="0" w:line="240" w:lineRule="auto"/>
      </w:pPr>
      <w:r>
        <w:separator/>
      </w:r>
    </w:p>
  </w:endnote>
  <w:endnote w:type="continuationSeparator" w:id="0">
    <w:p w14:paraId="7A5D237D" w14:textId="77777777" w:rsidR="009E57FF" w:rsidRDefault="009E57FF" w:rsidP="008776AF">
      <w:pPr>
        <w:spacing w:after="0" w:line="240" w:lineRule="auto"/>
      </w:pPr>
      <w:r>
        <w:continuationSeparator/>
      </w:r>
    </w:p>
  </w:endnote>
  <w:endnote w:type="continuationNotice" w:id="1">
    <w:p w14:paraId="1B626572" w14:textId="77777777" w:rsidR="009E57FF" w:rsidRDefault="009E57F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85338456"/>
      <w:docPartObj>
        <w:docPartGallery w:val="Page Numbers (Bottom of Page)"/>
        <w:docPartUnique/>
      </w:docPartObj>
    </w:sdtPr>
    <w:sdtEndPr>
      <w:rPr>
        <w:rFonts w:ascii="Helvetica" w:hAnsi="Helvetica"/>
        <w:sz w:val="16"/>
        <w:szCs w:val="16"/>
      </w:rPr>
    </w:sdtEndPr>
    <w:sdtContent>
      <w:sdt>
        <w:sdtPr>
          <w:rPr>
            <w:sz w:val="20"/>
            <w:szCs w:val="20"/>
          </w:rPr>
          <w:id w:val="322623991"/>
          <w:docPartObj>
            <w:docPartGallery w:val="Page Numbers (Bottom of Page)"/>
            <w:docPartUnique/>
          </w:docPartObj>
        </w:sdtPr>
        <w:sdtEndPr/>
        <w:sdtContent>
          <w:p w14:paraId="4489251E" w14:textId="236E454F" w:rsidR="00B913A7" w:rsidRPr="00716641" w:rsidRDefault="00B913A7" w:rsidP="002E5F57">
            <w:pPr>
              <w:pStyle w:val="Piedepgina"/>
              <w:spacing w:before="240"/>
              <w:jc w:val="center"/>
              <w:rPr>
                <w:rFonts w:ascii="Helvetica" w:hAnsi="Helvetica"/>
                <w:sz w:val="16"/>
                <w:szCs w:val="20"/>
              </w:rPr>
            </w:pPr>
            <w:r w:rsidRPr="00716641">
              <w:rPr>
                <w:rFonts w:ascii="Helvetica" w:hAnsi="Helvetica"/>
                <w:sz w:val="16"/>
                <w:szCs w:val="16"/>
              </w:rPr>
              <w:t>PÁG</w:t>
            </w:r>
            <w:r w:rsidRPr="00716641">
              <w:rPr>
                <w:rFonts w:ascii="Helvetica" w:hAnsi="Helvetica"/>
                <w:sz w:val="16"/>
                <w:szCs w:val="20"/>
              </w:rPr>
              <w:t xml:space="preserve">. </w:t>
            </w:r>
            <w:r w:rsidRPr="00716641">
              <w:rPr>
                <w:rFonts w:ascii="Helvetica" w:hAnsi="Helvetica"/>
                <w:sz w:val="16"/>
                <w:szCs w:val="20"/>
              </w:rPr>
              <w:fldChar w:fldCharType="begin"/>
            </w:r>
            <w:r w:rsidRPr="00716641">
              <w:rPr>
                <w:rFonts w:ascii="Helvetica" w:hAnsi="Helvetica"/>
                <w:sz w:val="16"/>
                <w:szCs w:val="20"/>
              </w:rPr>
              <w:instrText>PAGE   \* MERGEFORMAT</w:instrText>
            </w:r>
            <w:r w:rsidRPr="00716641">
              <w:rPr>
                <w:rFonts w:ascii="Helvetica" w:hAnsi="Helvetica"/>
                <w:sz w:val="16"/>
                <w:szCs w:val="20"/>
              </w:rPr>
              <w:fldChar w:fldCharType="separate"/>
            </w:r>
            <w:r w:rsidR="007E5CF3">
              <w:rPr>
                <w:rFonts w:ascii="Helvetica" w:hAnsi="Helvetica"/>
                <w:noProof/>
                <w:sz w:val="16"/>
                <w:szCs w:val="20"/>
              </w:rPr>
              <w:t>1</w:t>
            </w:r>
            <w:r w:rsidRPr="00716641">
              <w:rPr>
                <w:rFonts w:ascii="Helvetica" w:hAnsi="Helvetica"/>
                <w:sz w:val="16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DE9A9" w14:textId="77777777" w:rsidR="009E57FF" w:rsidRDefault="009E57FF" w:rsidP="008776AF">
      <w:pPr>
        <w:spacing w:after="0" w:line="240" w:lineRule="auto"/>
      </w:pPr>
      <w:r>
        <w:separator/>
      </w:r>
    </w:p>
  </w:footnote>
  <w:footnote w:type="continuationSeparator" w:id="0">
    <w:p w14:paraId="01DA4A19" w14:textId="77777777" w:rsidR="009E57FF" w:rsidRDefault="009E57FF" w:rsidP="008776AF">
      <w:pPr>
        <w:spacing w:after="0" w:line="240" w:lineRule="auto"/>
      </w:pPr>
      <w:r>
        <w:continuationSeparator/>
      </w:r>
    </w:p>
  </w:footnote>
  <w:footnote w:type="continuationNotice" w:id="1">
    <w:p w14:paraId="363B6A89" w14:textId="77777777" w:rsidR="009E57FF" w:rsidRDefault="009E57F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F478F" w14:textId="7FD69AEE" w:rsidR="00B913A7" w:rsidRDefault="007E5CF3">
    <w:pPr>
      <w:pStyle w:val="Encabezado"/>
    </w:pPr>
    <w:r>
      <w:rPr>
        <w:rFonts w:ascii="Arial" w:hAnsi="Arial" w:cs="Arial"/>
        <w:noProof/>
        <w:sz w:val="6"/>
        <w:szCs w:val="6"/>
        <w:lang w:eastAsia="es-ES"/>
      </w:rPr>
      <w:drawing>
        <wp:anchor distT="0" distB="0" distL="114300" distR="114300" simplePos="0" relativeHeight="251658240" behindDoc="1" locked="0" layoutInCell="1" allowOverlap="1" wp14:anchorId="41905F4D" wp14:editId="56171A8C">
          <wp:simplePos x="0" y="0"/>
          <wp:positionH relativeFrom="column">
            <wp:posOffset>-461524</wp:posOffset>
          </wp:positionH>
          <wp:positionV relativeFrom="paragraph">
            <wp:posOffset>143117</wp:posOffset>
          </wp:positionV>
          <wp:extent cx="1447800" cy="424942"/>
          <wp:effectExtent l="0" t="0" r="0" b="0"/>
          <wp:wrapNone/>
          <wp:docPr id="1" name="Imagen 1" descr="Interfaz de usuario gráfica, Texto,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nterfaz de usuario gráfica, Texto, Aplicación&#10;&#10;Descripción generada automá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7800" cy="42494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913A7">
      <w:rPr>
        <w:noProof/>
      </w:rPr>
      <w:t xml:space="preserve"> </w:t>
    </w:r>
  </w:p>
  <w:tbl>
    <w:tblPr>
      <w:tblStyle w:val="Tablaconcuadrcula"/>
      <w:tblW w:w="864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518"/>
      <w:gridCol w:w="4123"/>
    </w:tblGrid>
    <w:tr w:rsidR="00B913A7" w14:paraId="5250DC08" w14:textId="77777777" w:rsidTr="00C44176">
      <w:tc>
        <w:tcPr>
          <w:tcW w:w="4518" w:type="dxa"/>
        </w:tcPr>
        <w:tbl>
          <w:tblPr>
            <w:tblStyle w:val="Tablaconcuadrcula"/>
            <w:tblpPr w:leftFromText="141" w:rightFromText="141" w:vertAnchor="text" w:tblpY="1"/>
            <w:tblOverlap w:val="never"/>
            <w:tblW w:w="2847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2847"/>
          </w:tblGrid>
          <w:tr w:rsidR="00B913A7" w14:paraId="46989706" w14:textId="77777777" w:rsidTr="00C44176">
            <w:tc>
              <w:tcPr>
                <w:tcW w:w="2847" w:type="dxa"/>
                <w:tcMar>
                  <w:left w:w="17" w:type="dxa"/>
                </w:tcMar>
                <w:vAlign w:val="center"/>
              </w:tcPr>
              <w:p w14:paraId="5684FADB" w14:textId="4A42CD9B" w:rsidR="00B913A7" w:rsidRDefault="00B913A7" w:rsidP="00C44176">
                <w:pPr>
                  <w:rPr>
                    <w:rFonts w:ascii="Arial" w:hAnsi="Arial" w:cs="Arial"/>
                    <w:sz w:val="6"/>
                    <w:szCs w:val="6"/>
                  </w:rPr>
                </w:pPr>
              </w:p>
            </w:tc>
          </w:tr>
        </w:tbl>
        <w:p w14:paraId="66E6977F" w14:textId="3C1F3A91" w:rsidR="00B913A7" w:rsidRDefault="00B913A7" w:rsidP="005F1F2F">
          <w:pPr>
            <w:rPr>
              <w:rFonts w:ascii="Arial" w:hAnsi="Arial" w:cs="Arial"/>
              <w:sz w:val="6"/>
              <w:szCs w:val="6"/>
            </w:rPr>
          </w:pPr>
        </w:p>
      </w:tc>
      <w:tc>
        <w:tcPr>
          <w:tcW w:w="4123" w:type="dxa"/>
          <w:vAlign w:val="center"/>
        </w:tcPr>
        <w:tbl>
          <w:tblPr>
            <w:tblStyle w:val="Tablaconcuadrcula"/>
            <w:tblW w:w="4122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287"/>
            <w:gridCol w:w="2835"/>
          </w:tblGrid>
          <w:tr w:rsidR="00B913A7" w14:paraId="67E6712A" w14:textId="77777777" w:rsidTr="007D5DBF">
            <w:tc>
              <w:tcPr>
                <w:tcW w:w="1287" w:type="dxa"/>
                <w:tcBorders>
                  <w:right w:val="single" w:sz="8" w:space="0" w:color="7F7F7F" w:themeColor="text1" w:themeTint="80"/>
                </w:tcBorders>
                <w:tcMar>
                  <w:left w:w="0" w:type="dxa"/>
                  <w:right w:w="68" w:type="dxa"/>
                </w:tcMar>
                <w:vAlign w:val="center"/>
              </w:tcPr>
              <w:p w14:paraId="374EC691" w14:textId="10655F2A" w:rsidR="00B913A7" w:rsidRDefault="00B913A7" w:rsidP="005F1F2F">
                <w:pPr>
                  <w:jc w:val="right"/>
                  <w:rPr>
                    <w:rFonts w:ascii="Arial" w:hAnsi="Arial" w:cs="Arial"/>
                    <w:sz w:val="6"/>
                    <w:szCs w:val="6"/>
                  </w:rPr>
                </w:pPr>
              </w:p>
            </w:tc>
            <w:tc>
              <w:tcPr>
                <w:tcW w:w="2835" w:type="dxa"/>
                <w:tcBorders>
                  <w:left w:val="single" w:sz="8" w:space="0" w:color="7F7F7F" w:themeColor="text1" w:themeTint="80"/>
                </w:tcBorders>
                <w:tcMar>
                  <w:left w:w="57" w:type="dxa"/>
                </w:tcMar>
                <w:vAlign w:val="center"/>
              </w:tcPr>
              <w:p w14:paraId="642483F0" w14:textId="1C0092BF" w:rsidR="00B913A7" w:rsidRDefault="007E5CF3" w:rsidP="005F1F2F">
                <w:pPr>
                  <w:rPr>
                    <w:rFonts w:ascii="Arial" w:hAnsi="Arial" w:cs="Arial"/>
                    <w:sz w:val="6"/>
                    <w:szCs w:val="6"/>
                  </w:rPr>
                </w:pPr>
                <w:r>
                  <w:rPr>
                    <w:noProof/>
                    <w:lang w:eastAsia="es-ES"/>
                  </w:rPr>
                  <w:drawing>
                    <wp:anchor distT="0" distB="0" distL="114300" distR="114300" simplePos="0" relativeHeight="251661312" behindDoc="1" locked="0" layoutInCell="1" allowOverlap="1" wp14:anchorId="3298162D" wp14:editId="38A3F786">
                      <wp:simplePos x="0" y="0"/>
                      <wp:positionH relativeFrom="column">
                        <wp:posOffset>-193040</wp:posOffset>
                      </wp:positionH>
                      <wp:positionV relativeFrom="paragraph">
                        <wp:posOffset>8255</wp:posOffset>
                      </wp:positionV>
                      <wp:extent cx="661670" cy="327660"/>
                      <wp:effectExtent l="0" t="0" r="5080" b="0"/>
                      <wp:wrapNone/>
                      <wp:docPr id="3" name="Gráfico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"/>
                              <pic:cNvPicPr/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  <a:ext uri="{96DAC541-7B7A-43D3-8B79-37D633B846F1}">
                                    <asvg:svgBlip xmlns:asvg="http://schemas.microsoft.com/office/drawing/2016/SVG/main" r:embed="rId3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61670" cy="32766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  <w:r w:rsidR="00B913A7">
                  <w:rPr>
                    <w:rFonts w:ascii="Arial" w:hAnsi="Arial" w:cs="Arial"/>
                    <w:noProof/>
                    <w:sz w:val="6"/>
                    <w:szCs w:val="6"/>
                    <w:lang w:eastAsia="es-ES"/>
                  </w:rPr>
                  <w:drawing>
                    <wp:anchor distT="0" distB="0" distL="114300" distR="114300" simplePos="0" relativeHeight="251660288" behindDoc="1" locked="0" layoutInCell="1" allowOverlap="1" wp14:anchorId="724A52A5" wp14:editId="79B2F7C8">
                      <wp:simplePos x="0" y="0"/>
                      <wp:positionH relativeFrom="column">
                        <wp:posOffset>533400</wp:posOffset>
                      </wp:positionH>
                      <wp:positionV relativeFrom="paragraph">
                        <wp:posOffset>-19050</wp:posOffset>
                      </wp:positionV>
                      <wp:extent cx="1684020" cy="353060"/>
                      <wp:effectExtent l="0" t="0" r="0" b="8890"/>
                      <wp:wrapNone/>
                      <wp:docPr id="5" name="Imagen 5" descr="Texto&#10;&#10;Descripción generada automáticamen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" name="Imagen 5" descr="Texto&#10;&#10;Descripción generada automáticamente"/>
                              <pic:cNvPicPr/>
                            </pic:nvPicPr>
                            <pic:blipFill rotWithShape="1"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3846" t="32641" r="3896" b="3292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684020" cy="35306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</w:tr>
        </w:tbl>
        <w:p w14:paraId="0E905671" w14:textId="77777777" w:rsidR="00B913A7" w:rsidRDefault="00B913A7" w:rsidP="005F1F2F">
          <w:pPr>
            <w:rPr>
              <w:rFonts w:ascii="Arial" w:hAnsi="Arial" w:cs="Arial"/>
              <w:sz w:val="6"/>
              <w:szCs w:val="6"/>
            </w:rPr>
          </w:pPr>
        </w:p>
      </w:tc>
    </w:tr>
  </w:tbl>
  <w:p w14:paraId="60082856" w14:textId="090A157D" w:rsidR="00B913A7" w:rsidRDefault="007E5CF3" w:rsidP="00611196">
    <w:pPr>
      <w:spacing w:after="0"/>
      <w:rPr>
        <w:rFonts w:ascii="Arial" w:hAnsi="Arial" w:cs="Arial"/>
        <w:sz w:val="6"/>
        <w:szCs w:val="6"/>
      </w:rPr>
    </w:pPr>
    <w:r>
      <w:rPr>
        <w:rFonts w:ascii="Arial" w:hAnsi="Arial" w:cs="Arial"/>
        <w:noProof/>
        <w:sz w:val="6"/>
        <w:szCs w:val="6"/>
        <w:lang w:eastAsia="es-ES"/>
      </w:rPr>
      <w:drawing>
        <wp:anchor distT="0" distB="0" distL="114300" distR="114300" simplePos="0" relativeHeight="251659264" behindDoc="1" locked="0" layoutInCell="1" allowOverlap="1" wp14:anchorId="30E93263" wp14:editId="4A365409">
          <wp:simplePos x="0" y="0"/>
          <wp:positionH relativeFrom="column">
            <wp:posOffset>-461010</wp:posOffset>
          </wp:positionH>
          <wp:positionV relativeFrom="paragraph">
            <wp:posOffset>360108</wp:posOffset>
          </wp:positionV>
          <wp:extent cx="581025" cy="753639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tipo_del_Gobierno_de_la_Comunidad_de_Madrid.emf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1025" cy="7536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tbl>
    <w:tblPr>
      <w:tblStyle w:val="Tablaconcuadrcula"/>
      <w:tblW w:w="637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4"/>
      <w:gridCol w:w="6095"/>
    </w:tblGrid>
    <w:tr w:rsidR="00B913A7" w:rsidRPr="007E6349" w14:paraId="56850D27" w14:textId="77777777" w:rsidTr="007E5CF3">
      <w:tc>
        <w:tcPr>
          <w:tcW w:w="284" w:type="dxa"/>
        </w:tcPr>
        <w:p w14:paraId="5BD60F3E" w14:textId="3146ED4B" w:rsidR="00B913A7" w:rsidRDefault="00B913A7" w:rsidP="00611196">
          <w:pPr>
            <w:rPr>
              <w:rFonts w:ascii="Arial" w:hAnsi="Arial" w:cs="Arial"/>
              <w:sz w:val="6"/>
              <w:szCs w:val="6"/>
            </w:rPr>
          </w:pPr>
        </w:p>
      </w:tc>
      <w:tc>
        <w:tcPr>
          <w:tcW w:w="6095" w:type="dxa"/>
        </w:tcPr>
        <w:p w14:paraId="45A0E47A" w14:textId="77777777" w:rsidR="007E5CF3" w:rsidRDefault="007E5CF3" w:rsidP="00380A2E">
          <w:pPr>
            <w:spacing w:before="420" w:after="100"/>
            <w:rPr>
              <w:rFonts w:ascii="Arial" w:hAnsi="Arial" w:cs="Arial"/>
              <w:sz w:val="14"/>
              <w:szCs w:val="14"/>
            </w:rPr>
          </w:pPr>
        </w:p>
        <w:p w14:paraId="3E13B0C3" w14:textId="7E66B7AA" w:rsidR="00B913A7" w:rsidRPr="007E6349" w:rsidRDefault="00B913A7" w:rsidP="00380A2E">
          <w:pPr>
            <w:spacing w:before="420" w:after="100"/>
            <w:rPr>
              <w:rFonts w:ascii="Arial" w:hAnsi="Arial" w:cs="Arial"/>
              <w:sz w:val="14"/>
              <w:szCs w:val="14"/>
            </w:rPr>
          </w:pPr>
          <w:r w:rsidRPr="007E6349">
            <w:rPr>
              <w:rFonts w:ascii="Arial" w:hAnsi="Arial" w:cs="Arial"/>
              <w:sz w:val="14"/>
              <w:szCs w:val="14"/>
            </w:rPr>
            <w:t>Dirección General de Política Digital</w:t>
          </w:r>
        </w:p>
        <w:p w14:paraId="509746D4" w14:textId="294DC026" w:rsidR="00B913A7" w:rsidRPr="007E6349" w:rsidRDefault="00B913A7" w:rsidP="00380A2E">
          <w:pPr>
            <w:rPr>
              <w:rFonts w:ascii="Arial" w:hAnsi="Arial" w:cs="Arial"/>
              <w:sz w:val="14"/>
              <w:szCs w:val="14"/>
            </w:rPr>
          </w:pPr>
          <w:r w:rsidRPr="00380A2E">
            <w:rPr>
              <w:rFonts w:ascii="Arial" w:hAnsi="Arial" w:cs="Arial"/>
              <w:b/>
              <w:bCs/>
              <w:sz w:val="14"/>
              <w:szCs w:val="14"/>
            </w:rPr>
            <w:t>CONSEJERÍA DE ADMINISTRACIÓN LOCAL Y DIGITALIZACIÓN</w:t>
          </w:r>
        </w:p>
      </w:tc>
    </w:tr>
  </w:tbl>
  <w:p w14:paraId="2FBDE986" w14:textId="77777777" w:rsidR="00B913A7" w:rsidRPr="003D6D34" w:rsidRDefault="00B913A7" w:rsidP="003D6D34">
    <w:pPr>
      <w:spacing w:after="360"/>
      <w:rPr>
        <w:rFonts w:ascii="Arial" w:hAnsi="Arial"/>
        <w:sz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D3351"/>
    <w:multiLevelType w:val="hybridMultilevel"/>
    <w:tmpl w:val="9D0C6C7E"/>
    <w:lvl w:ilvl="0" w:tplc="B5A64E6E">
      <w:start w:val="1"/>
      <w:numFmt w:val="decimal"/>
      <w:pStyle w:val="1Numsincolor"/>
      <w:lvlText w:val="%1."/>
      <w:lvlJc w:val="left"/>
      <w:pPr>
        <w:ind w:left="241" w:hanging="36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595959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C0A0019">
      <w:start w:val="1"/>
      <w:numFmt w:val="lowerLetter"/>
      <w:lvlText w:val="%2."/>
      <w:lvlJc w:val="left"/>
      <w:pPr>
        <w:ind w:left="1037" w:hanging="360"/>
      </w:pPr>
    </w:lvl>
    <w:lvl w:ilvl="2" w:tplc="0C0A001B" w:tentative="1">
      <w:start w:val="1"/>
      <w:numFmt w:val="lowerRoman"/>
      <w:lvlText w:val="%3."/>
      <w:lvlJc w:val="right"/>
      <w:pPr>
        <w:ind w:left="1757" w:hanging="180"/>
      </w:pPr>
    </w:lvl>
    <w:lvl w:ilvl="3" w:tplc="0C0A000F" w:tentative="1">
      <w:start w:val="1"/>
      <w:numFmt w:val="decimal"/>
      <w:lvlText w:val="%4."/>
      <w:lvlJc w:val="left"/>
      <w:pPr>
        <w:ind w:left="2477" w:hanging="360"/>
      </w:pPr>
    </w:lvl>
    <w:lvl w:ilvl="4" w:tplc="0C0A0019" w:tentative="1">
      <w:start w:val="1"/>
      <w:numFmt w:val="lowerLetter"/>
      <w:lvlText w:val="%5."/>
      <w:lvlJc w:val="left"/>
      <w:pPr>
        <w:ind w:left="3197" w:hanging="360"/>
      </w:pPr>
    </w:lvl>
    <w:lvl w:ilvl="5" w:tplc="0C0A001B" w:tentative="1">
      <w:start w:val="1"/>
      <w:numFmt w:val="lowerRoman"/>
      <w:lvlText w:val="%6."/>
      <w:lvlJc w:val="right"/>
      <w:pPr>
        <w:ind w:left="3917" w:hanging="180"/>
      </w:pPr>
    </w:lvl>
    <w:lvl w:ilvl="6" w:tplc="0C0A000F" w:tentative="1">
      <w:start w:val="1"/>
      <w:numFmt w:val="decimal"/>
      <w:lvlText w:val="%7."/>
      <w:lvlJc w:val="left"/>
      <w:pPr>
        <w:ind w:left="4637" w:hanging="360"/>
      </w:pPr>
    </w:lvl>
    <w:lvl w:ilvl="7" w:tplc="0C0A0019" w:tentative="1">
      <w:start w:val="1"/>
      <w:numFmt w:val="lowerLetter"/>
      <w:lvlText w:val="%8."/>
      <w:lvlJc w:val="left"/>
      <w:pPr>
        <w:ind w:left="5357" w:hanging="360"/>
      </w:pPr>
    </w:lvl>
    <w:lvl w:ilvl="8" w:tplc="0C0A001B" w:tentative="1">
      <w:start w:val="1"/>
      <w:numFmt w:val="lowerRoman"/>
      <w:lvlText w:val="%9."/>
      <w:lvlJc w:val="right"/>
      <w:pPr>
        <w:ind w:left="6077" w:hanging="180"/>
      </w:pPr>
    </w:lvl>
  </w:abstractNum>
  <w:abstractNum w:abstractNumId="1" w15:restartNumberingAfterBreak="0">
    <w:nsid w:val="0B881D21"/>
    <w:multiLevelType w:val="hybridMultilevel"/>
    <w:tmpl w:val="8E083836"/>
    <w:lvl w:ilvl="0" w:tplc="CEB694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A3CF8"/>
    <w:multiLevelType w:val="hybridMultilevel"/>
    <w:tmpl w:val="7442A9C4"/>
    <w:lvl w:ilvl="0" w:tplc="CEB694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634DF"/>
    <w:multiLevelType w:val="hybridMultilevel"/>
    <w:tmpl w:val="6830630C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A305815"/>
    <w:multiLevelType w:val="hybridMultilevel"/>
    <w:tmpl w:val="F0D6DAD2"/>
    <w:lvl w:ilvl="0" w:tplc="F5D8FA18">
      <w:start w:val="1"/>
      <w:numFmt w:val="lowerLetter"/>
      <w:pStyle w:val="aVietasincolor"/>
      <w:lvlText w:val="%1)"/>
      <w:lvlJc w:val="left"/>
      <w:pPr>
        <w:ind w:left="720" w:hanging="36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814137"/>
    <w:multiLevelType w:val="hybridMultilevel"/>
    <w:tmpl w:val="4DA29D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156A5F"/>
    <w:multiLevelType w:val="hybridMultilevel"/>
    <w:tmpl w:val="EBCC864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73617"/>
    <w:multiLevelType w:val="hybridMultilevel"/>
    <w:tmpl w:val="1C82FE5C"/>
    <w:lvl w:ilvl="0" w:tplc="A69E6A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08E623A">
      <w:start w:val="2"/>
      <w:numFmt w:val="bullet"/>
      <w:lvlText w:val=""/>
      <w:lvlJc w:val="left"/>
      <w:pPr>
        <w:ind w:left="1440" w:hanging="360"/>
      </w:pPr>
      <w:rPr>
        <w:rFonts w:ascii="Helvetica" w:eastAsia="Times New Roman" w:hAnsi="Helvetica" w:cs="Helvetica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26066"/>
    <w:multiLevelType w:val="hybridMultilevel"/>
    <w:tmpl w:val="0BC036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8451AC"/>
    <w:multiLevelType w:val="hybridMultilevel"/>
    <w:tmpl w:val="7AC2CEC4"/>
    <w:lvl w:ilvl="0" w:tplc="A69E6A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51908"/>
    <w:multiLevelType w:val="hybridMultilevel"/>
    <w:tmpl w:val="F350EB62"/>
    <w:lvl w:ilvl="0" w:tplc="31501070">
      <w:start w:val="3"/>
      <w:numFmt w:val="bullet"/>
      <w:lvlText w:val=""/>
      <w:lvlJc w:val="left"/>
      <w:pPr>
        <w:ind w:left="1440" w:hanging="360"/>
      </w:pPr>
      <w:rPr>
        <w:rFonts w:ascii="Helvetica" w:eastAsia="Times New Roman" w:hAnsi="Helvetica" w:cs="Helvetica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C131093"/>
    <w:multiLevelType w:val="hybridMultilevel"/>
    <w:tmpl w:val="F848769C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D8E6D99"/>
    <w:multiLevelType w:val="hybridMultilevel"/>
    <w:tmpl w:val="907C9210"/>
    <w:lvl w:ilvl="0" w:tplc="70F6F7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6D2273"/>
    <w:multiLevelType w:val="hybridMultilevel"/>
    <w:tmpl w:val="8B4097AC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40B80F09"/>
    <w:multiLevelType w:val="hybridMultilevel"/>
    <w:tmpl w:val="F9EA0C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161E85"/>
    <w:multiLevelType w:val="hybridMultilevel"/>
    <w:tmpl w:val="2BA0186E"/>
    <w:lvl w:ilvl="0" w:tplc="A69E6A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21410"/>
    <w:multiLevelType w:val="hybridMultilevel"/>
    <w:tmpl w:val="FDD451EC"/>
    <w:lvl w:ilvl="0" w:tplc="31501070">
      <w:start w:val="3"/>
      <w:numFmt w:val="bullet"/>
      <w:lvlText w:val="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C02384"/>
    <w:multiLevelType w:val="hybridMultilevel"/>
    <w:tmpl w:val="1C429A12"/>
    <w:lvl w:ilvl="0" w:tplc="CEB694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501CF8"/>
    <w:multiLevelType w:val="hybridMultilevel"/>
    <w:tmpl w:val="FDFAFD6A"/>
    <w:lvl w:ilvl="0" w:tplc="CEB694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F11B71"/>
    <w:multiLevelType w:val="hybridMultilevel"/>
    <w:tmpl w:val="053AD81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8250F0"/>
    <w:multiLevelType w:val="hybridMultilevel"/>
    <w:tmpl w:val="F32ED4C6"/>
    <w:lvl w:ilvl="0" w:tplc="6E0AD494">
      <w:start w:val="1"/>
      <w:numFmt w:val="lowerLetter"/>
      <w:pStyle w:val="Vietaa"/>
      <w:lvlText w:val="%1)"/>
      <w:lvlJc w:val="left"/>
      <w:pPr>
        <w:ind w:left="372" w:hanging="360"/>
      </w:pPr>
      <w:rPr>
        <w:rFonts w:ascii="Corbel" w:hAnsi="Corbel" w:hint="default"/>
        <w:color w:val="009CC4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092" w:hanging="360"/>
      </w:pPr>
    </w:lvl>
    <w:lvl w:ilvl="2" w:tplc="0C0A001B" w:tentative="1">
      <w:start w:val="1"/>
      <w:numFmt w:val="lowerRoman"/>
      <w:lvlText w:val="%3."/>
      <w:lvlJc w:val="right"/>
      <w:pPr>
        <w:ind w:left="1812" w:hanging="180"/>
      </w:pPr>
    </w:lvl>
    <w:lvl w:ilvl="3" w:tplc="0C0A000F" w:tentative="1">
      <w:start w:val="1"/>
      <w:numFmt w:val="decimal"/>
      <w:lvlText w:val="%4."/>
      <w:lvlJc w:val="left"/>
      <w:pPr>
        <w:ind w:left="2532" w:hanging="360"/>
      </w:pPr>
    </w:lvl>
    <w:lvl w:ilvl="4" w:tplc="0C0A0019" w:tentative="1">
      <w:start w:val="1"/>
      <w:numFmt w:val="lowerLetter"/>
      <w:lvlText w:val="%5."/>
      <w:lvlJc w:val="left"/>
      <w:pPr>
        <w:ind w:left="3252" w:hanging="360"/>
      </w:pPr>
    </w:lvl>
    <w:lvl w:ilvl="5" w:tplc="0C0A001B" w:tentative="1">
      <w:start w:val="1"/>
      <w:numFmt w:val="lowerRoman"/>
      <w:lvlText w:val="%6."/>
      <w:lvlJc w:val="right"/>
      <w:pPr>
        <w:ind w:left="3972" w:hanging="180"/>
      </w:pPr>
    </w:lvl>
    <w:lvl w:ilvl="6" w:tplc="0C0A000F" w:tentative="1">
      <w:start w:val="1"/>
      <w:numFmt w:val="decimal"/>
      <w:lvlText w:val="%7."/>
      <w:lvlJc w:val="left"/>
      <w:pPr>
        <w:ind w:left="4692" w:hanging="360"/>
      </w:pPr>
    </w:lvl>
    <w:lvl w:ilvl="7" w:tplc="0C0A0019" w:tentative="1">
      <w:start w:val="1"/>
      <w:numFmt w:val="lowerLetter"/>
      <w:lvlText w:val="%8."/>
      <w:lvlJc w:val="left"/>
      <w:pPr>
        <w:ind w:left="5412" w:hanging="360"/>
      </w:pPr>
    </w:lvl>
    <w:lvl w:ilvl="8" w:tplc="0C0A001B" w:tentative="1">
      <w:start w:val="1"/>
      <w:numFmt w:val="lowerRoman"/>
      <w:lvlText w:val="%9."/>
      <w:lvlJc w:val="right"/>
      <w:pPr>
        <w:ind w:left="6132" w:hanging="180"/>
      </w:pPr>
    </w:lvl>
  </w:abstractNum>
  <w:num w:numId="1" w16cid:durableId="947733637">
    <w:abstractNumId w:val="20"/>
  </w:num>
  <w:num w:numId="2" w16cid:durableId="981231171">
    <w:abstractNumId w:val="4"/>
  </w:num>
  <w:num w:numId="3" w16cid:durableId="1794901924">
    <w:abstractNumId w:val="0"/>
  </w:num>
  <w:num w:numId="4" w16cid:durableId="2110083015">
    <w:abstractNumId w:val="12"/>
  </w:num>
  <w:num w:numId="5" w16cid:durableId="697656124">
    <w:abstractNumId w:val="13"/>
  </w:num>
  <w:num w:numId="6" w16cid:durableId="654728317">
    <w:abstractNumId w:val="19"/>
  </w:num>
  <w:num w:numId="7" w16cid:durableId="499125529">
    <w:abstractNumId w:val="5"/>
  </w:num>
  <w:num w:numId="8" w16cid:durableId="66347121">
    <w:abstractNumId w:val="8"/>
  </w:num>
  <w:num w:numId="9" w16cid:durableId="1380011715">
    <w:abstractNumId w:val="15"/>
  </w:num>
  <w:num w:numId="10" w16cid:durableId="422840531">
    <w:abstractNumId w:val="9"/>
  </w:num>
  <w:num w:numId="11" w16cid:durableId="332612436">
    <w:abstractNumId w:val="14"/>
  </w:num>
  <w:num w:numId="12" w16cid:durableId="938560350">
    <w:abstractNumId w:val="16"/>
  </w:num>
  <w:num w:numId="13" w16cid:durableId="941376200">
    <w:abstractNumId w:val="10"/>
  </w:num>
  <w:num w:numId="14" w16cid:durableId="2108962602">
    <w:abstractNumId w:val="3"/>
  </w:num>
  <w:num w:numId="15" w16cid:durableId="106318413">
    <w:abstractNumId w:val="7"/>
  </w:num>
  <w:num w:numId="16" w16cid:durableId="1222398710">
    <w:abstractNumId w:val="1"/>
  </w:num>
  <w:num w:numId="17" w16cid:durableId="1104229423">
    <w:abstractNumId w:val="6"/>
  </w:num>
  <w:num w:numId="18" w16cid:durableId="404956854">
    <w:abstractNumId w:val="17"/>
  </w:num>
  <w:num w:numId="19" w16cid:durableId="2077167582">
    <w:abstractNumId w:val="18"/>
  </w:num>
  <w:num w:numId="20" w16cid:durableId="1311251257">
    <w:abstractNumId w:val="2"/>
  </w:num>
  <w:num w:numId="21" w16cid:durableId="1394541378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83E"/>
    <w:rsid w:val="00000858"/>
    <w:rsid w:val="00006A79"/>
    <w:rsid w:val="00007D4E"/>
    <w:rsid w:val="000154A6"/>
    <w:rsid w:val="00015B43"/>
    <w:rsid w:val="000240B2"/>
    <w:rsid w:val="000249B2"/>
    <w:rsid w:val="00037DD0"/>
    <w:rsid w:val="00043D77"/>
    <w:rsid w:val="00046C3C"/>
    <w:rsid w:val="00053A2B"/>
    <w:rsid w:val="00062059"/>
    <w:rsid w:val="000723EF"/>
    <w:rsid w:val="000751C3"/>
    <w:rsid w:val="0008107E"/>
    <w:rsid w:val="0008262D"/>
    <w:rsid w:val="000830F0"/>
    <w:rsid w:val="0008369D"/>
    <w:rsid w:val="00087774"/>
    <w:rsid w:val="00092044"/>
    <w:rsid w:val="0009492A"/>
    <w:rsid w:val="00094D33"/>
    <w:rsid w:val="00094F1D"/>
    <w:rsid w:val="00096D75"/>
    <w:rsid w:val="000C2308"/>
    <w:rsid w:val="000C578D"/>
    <w:rsid w:val="000C66F4"/>
    <w:rsid w:val="000D6692"/>
    <w:rsid w:val="000D78DF"/>
    <w:rsid w:val="000E04D8"/>
    <w:rsid w:val="000F383E"/>
    <w:rsid w:val="000F560D"/>
    <w:rsid w:val="000F68FC"/>
    <w:rsid w:val="00100480"/>
    <w:rsid w:val="0010334F"/>
    <w:rsid w:val="0010337C"/>
    <w:rsid w:val="00105845"/>
    <w:rsid w:val="00113739"/>
    <w:rsid w:val="0011541C"/>
    <w:rsid w:val="00123DA6"/>
    <w:rsid w:val="00140779"/>
    <w:rsid w:val="00141149"/>
    <w:rsid w:val="00142CBD"/>
    <w:rsid w:val="00152C02"/>
    <w:rsid w:val="00153C5D"/>
    <w:rsid w:val="00154224"/>
    <w:rsid w:val="001559F5"/>
    <w:rsid w:val="00165734"/>
    <w:rsid w:val="00166DFD"/>
    <w:rsid w:val="00167325"/>
    <w:rsid w:val="001743B1"/>
    <w:rsid w:val="00177DF8"/>
    <w:rsid w:val="00180A94"/>
    <w:rsid w:val="00192A82"/>
    <w:rsid w:val="001A167F"/>
    <w:rsid w:val="001B5067"/>
    <w:rsid w:val="001B7710"/>
    <w:rsid w:val="001C0AC6"/>
    <w:rsid w:val="001C12A1"/>
    <w:rsid w:val="001C7E2F"/>
    <w:rsid w:val="001D43BD"/>
    <w:rsid w:val="001D4A44"/>
    <w:rsid w:val="001E14B5"/>
    <w:rsid w:val="001F0F19"/>
    <w:rsid w:val="001F5F0B"/>
    <w:rsid w:val="001F707F"/>
    <w:rsid w:val="00203425"/>
    <w:rsid w:val="00204D1F"/>
    <w:rsid w:val="00213AA4"/>
    <w:rsid w:val="002204E8"/>
    <w:rsid w:val="0022716E"/>
    <w:rsid w:val="00227EF2"/>
    <w:rsid w:val="00244ABC"/>
    <w:rsid w:val="0025127A"/>
    <w:rsid w:val="00253FC2"/>
    <w:rsid w:val="0025594E"/>
    <w:rsid w:val="002610D8"/>
    <w:rsid w:val="0026415A"/>
    <w:rsid w:val="00264CA1"/>
    <w:rsid w:val="00284860"/>
    <w:rsid w:val="00287F50"/>
    <w:rsid w:val="00294E59"/>
    <w:rsid w:val="002A2EB7"/>
    <w:rsid w:val="002A568B"/>
    <w:rsid w:val="002A6B62"/>
    <w:rsid w:val="002A77EB"/>
    <w:rsid w:val="002B3779"/>
    <w:rsid w:val="002D59C4"/>
    <w:rsid w:val="002D6596"/>
    <w:rsid w:val="002E5996"/>
    <w:rsid w:val="002E5F57"/>
    <w:rsid w:val="002F77B6"/>
    <w:rsid w:val="002F7BCA"/>
    <w:rsid w:val="00304FCA"/>
    <w:rsid w:val="00320341"/>
    <w:rsid w:val="003252CC"/>
    <w:rsid w:val="0032796E"/>
    <w:rsid w:val="003319C7"/>
    <w:rsid w:val="003332A5"/>
    <w:rsid w:val="00343228"/>
    <w:rsid w:val="00355E96"/>
    <w:rsid w:val="00357E7C"/>
    <w:rsid w:val="003633D5"/>
    <w:rsid w:val="00366773"/>
    <w:rsid w:val="003706A0"/>
    <w:rsid w:val="00371AF2"/>
    <w:rsid w:val="00380A2E"/>
    <w:rsid w:val="00382FE0"/>
    <w:rsid w:val="0038465E"/>
    <w:rsid w:val="00392435"/>
    <w:rsid w:val="003A043A"/>
    <w:rsid w:val="003A4F2B"/>
    <w:rsid w:val="003A62EC"/>
    <w:rsid w:val="003A7374"/>
    <w:rsid w:val="003B5EC9"/>
    <w:rsid w:val="003B71ED"/>
    <w:rsid w:val="003C1579"/>
    <w:rsid w:val="003D10E6"/>
    <w:rsid w:val="003D6D34"/>
    <w:rsid w:val="003D76A9"/>
    <w:rsid w:val="003D76E0"/>
    <w:rsid w:val="003E0037"/>
    <w:rsid w:val="003E0334"/>
    <w:rsid w:val="003E2022"/>
    <w:rsid w:val="003F1C22"/>
    <w:rsid w:val="003F3440"/>
    <w:rsid w:val="003F6303"/>
    <w:rsid w:val="003F6FCA"/>
    <w:rsid w:val="004014C2"/>
    <w:rsid w:val="0040332A"/>
    <w:rsid w:val="00416275"/>
    <w:rsid w:val="0042363F"/>
    <w:rsid w:val="00425A99"/>
    <w:rsid w:val="00426D4A"/>
    <w:rsid w:val="004306E5"/>
    <w:rsid w:val="00430FD1"/>
    <w:rsid w:val="00431652"/>
    <w:rsid w:val="00437F6B"/>
    <w:rsid w:val="004426B6"/>
    <w:rsid w:val="00450D28"/>
    <w:rsid w:val="00453603"/>
    <w:rsid w:val="00457218"/>
    <w:rsid w:val="00460165"/>
    <w:rsid w:val="00461339"/>
    <w:rsid w:val="00461BC2"/>
    <w:rsid w:val="00464F3D"/>
    <w:rsid w:val="00491DA1"/>
    <w:rsid w:val="004A2588"/>
    <w:rsid w:val="004B2761"/>
    <w:rsid w:val="004B2D5F"/>
    <w:rsid w:val="004B4D99"/>
    <w:rsid w:val="004C3200"/>
    <w:rsid w:val="004C39F8"/>
    <w:rsid w:val="004D09E8"/>
    <w:rsid w:val="004D1B68"/>
    <w:rsid w:val="004D44BA"/>
    <w:rsid w:val="004D6583"/>
    <w:rsid w:val="004D7019"/>
    <w:rsid w:val="004E1F4B"/>
    <w:rsid w:val="004E2AB7"/>
    <w:rsid w:val="004E7E80"/>
    <w:rsid w:val="004F391D"/>
    <w:rsid w:val="00506D31"/>
    <w:rsid w:val="00517544"/>
    <w:rsid w:val="005250BE"/>
    <w:rsid w:val="00527A32"/>
    <w:rsid w:val="00536A72"/>
    <w:rsid w:val="00537DA7"/>
    <w:rsid w:val="005540D2"/>
    <w:rsid w:val="005545A8"/>
    <w:rsid w:val="005551BC"/>
    <w:rsid w:val="00561AEC"/>
    <w:rsid w:val="0056243A"/>
    <w:rsid w:val="0056425D"/>
    <w:rsid w:val="00565BF5"/>
    <w:rsid w:val="00571FF5"/>
    <w:rsid w:val="00581533"/>
    <w:rsid w:val="00584BA4"/>
    <w:rsid w:val="00596145"/>
    <w:rsid w:val="005A30BD"/>
    <w:rsid w:val="005B2424"/>
    <w:rsid w:val="005B3E27"/>
    <w:rsid w:val="005B6864"/>
    <w:rsid w:val="005C08DB"/>
    <w:rsid w:val="005C26A6"/>
    <w:rsid w:val="005D0090"/>
    <w:rsid w:val="005D471A"/>
    <w:rsid w:val="005D6016"/>
    <w:rsid w:val="005E106E"/>
    <w:rsid w:val="005E6E49"/>
    <w:rsid w:val="005F0A3B"/>
    <w:rsid w:val="005F1B80"/>
    <w:rsid w:val="005F1F2F"/>
    <w:rsid w:val="00605ADB"/>
    <w:rsid w:val="006075A9"/>
    <w:rsid w:val="006078E4"/>
    <w:rsid w:val="006101C9"/>
    <w:rsid w:val="00611196"/>
    <w:rsid w:val="00611EA2"/>
    <w:rsid w:val="00612AB8"/>
    <w:rsid w:val="00615E48"/>
    <w:rsid w:val="00616951"/>
    <w:rsid w:val="00634A9D"/>
    <w:rsid w:val="0064090D"/>
    <w:rsid w:val="00645213"/>
    <w:rsid w:val="006455F8"/>
    <w:rsid w:val="00646312"/>
    <w:rsid w:val="00646A33"/>
    <w:rsid w:val="00657671"/>
    <w:rsid w:val="00664F4B"/>
    <w:rsid w:val="00672B56"/>
    <w:rsid w:val="0068092B"/>
    <w:rsid w:val="00683E6E"/>
    <w:rsid w:val="006876C4"/>
    <w:rsid w:val="006912F8"/>
    <w:rsid w:val="00691F2E"/>
    <w:rsid w:val="00695D40"/>
    <w:rsid w:val="006A63FE"/>
    <w:rsid w:val="006B696B"/>
    <w:rsid w:val="006C07D8"/>
    <w:rsid w:val="006C2B15"/>
    <w:rsid w:val="006C4B4F"/>
    <w:rsid w:val="006F21EC"/>
    <w:rsid w:val="006F7B61"/>
    <w:rsid w:val="006F7BA4"/>
    <w:rsid w:val="0071061E"/>
    <w:rsid w:val="00716641"/>
    <w:rsid w:val="007173D0"/>
    <w:rsid w:val="007269CC"/>
    <w:rsid w:val="007425E5"/>
    <w:rsid w:val="00743507"/>
    <w:rsid w:val="00743CB4"/>
    <w:rsid w:val="00746F47"/>
    <w:rsid w:val="00755210"/>
    <w:rsid w:val="007564BA"/>
    <w:rsid w:val="00757190"/>
    <w:rsid w:val="0076705D"/>
    <w:rsid w:val="007763B4"/>
    <w:rsid w:val="00777859"/>
    <w:rsid w:val="007A2FD0"/>
    <w:rsid w:val="007A3C25"/>
    <w:rsid w:val="007B0AAD"/>
    <w:rsid w:val="007B6936"/>
    <w:rsid w:val="007C3909"/>
    <w:rsid w:val="007C43CF"/>
    <w:rsid w:val="007C4EF0"/>
    <w:rsid w:val="007C54D6"/>
    <w:rsid w:val="007C612F"/>
    <w:rsid w:val="007C7D1E"/>
    <w:rsid w:val="007D409E"/>
    <w:rsid w:val="007D4D4C"/>
    <w:rsid w:val="007D5DBF"/>
    <w:rsid w:val="007D6466"/>
    <w:rsid w:val="007E0053"/>
    <w:rsid w:val="007E0874"/>
    <w:rsid w:val="007E51FE"/>
    <w:rsid w:val="007E5CF3"/>
    <w:rsid w:val="007E6703"/>
    <w:rsid w:val="007E76C5"/>
    <w:rsid w:val="0080355D"/>
    <w:rsid w:val="00807E51"/>
    <w:rsid w:val="00816B06"/>
    <w:rsid w:val="008258CB"/>
    <w:rsid w:val="00825D6A"/>
    <w:rsid w:val="008301C3"/>
    <w:rsid w:val="00832410"/>
    <w:rsid w:val="008436F1"/>
    <w:rsid w:val="00844DDD"/>
    <w:rsid w:val="00852BFE"/>
    <w:rsid w:val="00856380"/>
    <w:rsid w:val="00862127"/>
    <w:rsid w:val="00863483"/>
    <w:rsid w:val="00865281"/>
    <w:rsid w:val="00867290"/>
    <w:rsid w:val="00870723"/>
    <w:rsid w:val="0087596C"/>
    <w:rsid w:val="008776AF"/>
    <w:rsid w:val="00881AE2"/>
    <w:rsid w:val="008876C7"/>
    <w:rsid w:val="00887C9A"/>
    <w:rsid w:val="00891FC1"/>
    <w:rsid w:val="00894E79"/>
    <w:rsid w:val="0089588E"/>
    <w:rsid w:val="008A4A23"/>
    <w:rsid w:val="008A567C"/>
    <w:rsid w:val="008A73DA"/>
    <w:rsid w:val="008A7A70"/>
    <w:rsid w:val="008B20FA"/>
    <w:rsid w:val="008B352A"/>
    <w:rsid w:val="008B5DC8"/>
    <w:rsid w:val="008C00D1"/>
    <w:rsid w:val="008C1090"/>
    <w:rsid w:val="008C17B8"/>
    <w:rsid w:val="008D7C62"/>
    <w:rsid w:val="008E1626"/>
    <w:rsid w:val="008E3F11"/>
    <w:rsid w:val="008E671C"/>
    <w:rsid w:val="008F0828"/>
    <w:rsid w:val="00904A3C"/>
    <w:rsid w:val="00910C06"/>
    <w:rsid w:val="00917BC1"/>
    <w:rsid w:val="009344E6"/>
    <w:rsid w:val="00934A60"/>
    <w:rsid w:val="00937172"/>
    <w:rsid w:val="00940A17"/>
    <w:rsid w:val="0094383E"/>
    <w:rsid w:val="009518BA"/>
    <w:rsid w:val="00962C97"/>
    <w:rsid w:val="0096399D"/>
    <w:rsid w:val="009738FD"/>
    <w:rsid w:val="00975C13"/>
    <w:rsid w:val="00975C77"/>
    <w:rsid w:val="0097638A"/>
    <w:rsid w:val="00980B7B"/>
    <w:rsid w:val="00983AFF"/>
    <w:rsid w:val="0098660F"/>
    <w:rsid w:val="009915C2"/>
    <w:rsid w:val="00993A07"/>
    <w:rsid w:val="00994113"/>
    <w:rsid w:val="009A16A7"/>
    <w:rsid w:val="009A202F"/>
    <w:rsid w:val="009A2D3E"/>
    <w:rsid w:val="009A42FD"/>
    <w:rsid w:val="009A588B"/>
    <w:rsid w:val="009B28A8"/>
    <w:rsid w:val="009B69DC"/>
    <w:rsid w:val="009C5BE3"/>
    <w:rsid w:val="009C6C13"/>
    <w:rsid w:val="009C6DD5"/>
    <w:rsid w:val="009D1A9F"/>
    <w:rsid w:val="009E066C"/>
    <w:rsid w:val="009E092E"/>
    <w:rsid w:val="009E57FF"/>
    <w:rsid w:val="009F17F0"/>
    <w:rsid w:val="009F1E10"/>
    <w:rsid w:val="009F3C87"/>
    <w:rsid w:val="009F4B61"/>
    <w:rsid w:val="00A11440"/>
    <w:rsid w:val="00A2330A"/>
    <w:rsid w:val="00A3037A"/>
    <w:rsid w:val="00A363C5"/>
    <w:rsid w:val="00A37B5B"/>
    <w:rsid w:val="00A41D4D"/>
    <w:rsid w:val="00A459CE"/>
    <w:rsid w:val="00A5286E"/>
    <w:rsid w:val="00A62AE6"/>
    <w:rsid w:val="00A66D69"/>
    <w:rsid w:val="00A66D73"/>
    <w:rsid w:val="00A73F40"/>
    <w:rsid w:val="00A76A34"/>
    <w:rsid w:val="00A77765"/>
    <w:rsid w:val="00A816FF"/>
    <w:rsid w:val="00A846C6"/>
    <w:rsid w:val="00A932E7"/>
    <w:rsid w:val="00AB2D47"/>
    <w:rsid w:val="00AE51E4"/>
    <w:rsid w:val="00AE7C93"/>
    <w:rsid w:val="00AF19FD"/>
    <w:rsid w:val="00AF336A"/>
    <w:rsid w:val="00AF51A2"/>
    <w:rsid w:val="00AF7D03"/>
    <w:rsid w:val="00B10F8E"/>
    <w:rsid w:val="00B11222"/>
    <w:rsid w:val="00B126BC"/>
    <w:rsid w:val="00B21DC8"/>
    <w:rsid w:val="00B26F3C"/>
    <w:rsid w:val="00B40817"/>
    <w:rsid w:val="00B52162"/>
    <w:rsid w:val="00B6491A"/>
    <w:rsid w:val="00B72383"/>
    <w:rsid w:val="00B84C42"/>
    <w:rsid w:val="00B913A7"/>
    <w:rsid w:val="00B93BF1"/>
    <w:rsid w:val="00B966C2"/>
    <w:rsid w:val="00BB0985"/>
    <w:rsid w:val="00BB47FC"/>
    <w:rsid w:val="00BC497D"/>
    <w:rsid w:val="00BC7CD5"/>
    <w:rsid w:val="00BD37C8"/>
    <w:rsid w:val="00BE3D72"/>
    <w:rsid w:val="00BE5621"/>
    <w:rsid w:val="00BE56ED"/>
    <w:rsid w:val="00BF3012"/>
    <w:rsid w:val="00C00119"/>
    <w:rsid w:val="00C0316F"/>
    <w:rsid w:val="00C032BB"/>
    <w:rsid w:val="00C03EA5"/>
    <w:rsid w:val="00C04627"/>
    <w:rsid w:val="00C07816"/>
    <w:rsid w:val="00C26407"/>
    <w:rsid w:val="00C35140"/>
    <w:rsid w:val="00C36535"/>
    <w:rsid w:val="00C37573"/>
    <w:rsid w:val="00C411CC"/>
    <w:rsid w:val="00C44176"/>
    <w:rsid w:val="00C47FA8"/>
    <w:rsid w:val="00C50CDB"/>
    <w:rsid w:val="00C61787"/>
    <w:rsid w:val="00C62FB4"/>
    <w:rsid w:val="00C6631D"/>
    <w:rsid w:val="00C73464"/>
    <w:rsid w:val="00C7374B"/>
    <w:rsid w:val="00C841E3"/>
    <w:rsid w:val="00C853BA"/>
    <w:rsid w:val="00C862AD"/>
    <w:rsid w:val="00C87E5C"/>
    <w:rsid w:val="00C91D6A"/>
    <w:rsid w:val="00C97529"/>
    <w:rsid w:val="00CA2AED"/>
    <w:rsid w:val="00CA4BBA"/>
    <w:rsid w:val="00CA5B7C"/>
    <w:rsid w:val="00CB4F78"/>
    <w:rsid w:val="00CC1E1A"/>
    <w:rsid w:val="00CC5234"/>
    <w:rsid w:val="00CC5577"/>
    <w:rsid w:val="00CC6554"/>
    <w:rsid w:val="00CD41CC"/>
    <w:rsid w:val="00CF5294"/>
    <w:rsid w:val="00CF6952"/>
    <w:rsid w:val="00D01537"/>
    <w:rsid w:val="00D06172"/>
    <w:rsid w:val="00D14641"/>
    <w:rsid w:val="00D16089"/>
    <w:rsid w:val="00D2389B"/>
    <w:rsid w:val="00D23B98"/>
    <w:rsid w:val="00D2657D"/>
    <w:rsid w:val="00D27CEC"/>
    <w:rsid w:val="00D35E73"/>
    <w:rsid w:val="00D36273"/>
    <w:rsid w:val="00D40C41"/>
    <w:rsid w:val="00D40F6E"/>
    <w:rsid w:val="00D43CF2"/>
    <w:rsid w:val="00D47E0F"/>
    <w:rsid w:val="00D861F0"/>
    <w:rsid w:val="00DA344D"/>
    <w:rsid w:val="00DB5FAD"/>
    <w:rsid w:val="00DB6065"/>
    <w:rsid w:val="00DC0D7E"/>
    <w:rsid w:val="00DC1B53"/>
    <w:rsid w:val="00DC4546"/>
    <w:rsid w:val="00DC740B"/>
    <w:rsid w:val="00DD052A"/>
    <w:rsid w:val="00DD068E"/>
    <w:rsid w:val="00DD5887"/>
    <w:rsid w:val="00DD7E1B"/>
    <w:rsid w:val="00DE4C7D"/>
    <w:rsid w:val="00E00AA7"/>
    <w:rsid w:val="00E04C73"/>
    <w:rsid w:val="00E10D7D"/>
    <w:rsid w:val="00E12842"/>
    <w:rsid w:val="00E12DB9"/>
    <w:rsid w:val="00E16D64"/>
    <w:rsid w:val="00E5788A"/>
    <w:rsid w:val="00E57BB5"/>
    <w:rsid w:val="00E7169E"/>
    <w:rsid w:val="00E72E51"/>
    <w:rsid w:val="00E76835"/>
    <w:rsid w:val="00E8163B"/>
    <w:rsid w:val="00E82AC8"/>
    <w:rsid w:val="00E87B19"/>
    <w:rsid w:val="00E91FA1"/>
    <w:rsid w:val="00E9334B"/>
    <w:rsid w:val="00EA1125"/>
    <w:rsid w:val="00EA7D41"/>
    <w:rsid w:val="00EB07A2"/>
    <w:rsid w:val="00EB0DA8"/>
    <w:rsid w:val="00EB21B3"/>
    <w:rsid w:val="00EB258C"/>
    <w:rsid w:val="00ED25CA"/>
    <w:rsid w:val="00ED74A6"/>
    <w:rsid w:val="00EE3197"/>
    <w:rsid w:val="00F30074"/>
    <w:rsid w:val="00F414FE"/>
    <w:rsid w:val="00F41722"/>
    <w:rsid w:val="00F41A13"/>
    <w:rsid w:val="00F53431"/>
    <w:rsid w:val="00F611E0"/>
    <w:rsid w:val="00F62044"/>
    <w:rsid w:val="00F66235"/>
    <w:rsid w:val="00F81844"/>
    <w:rsid w:val="00F84C4B"/>
    <w:rsid w:val="00FA7E11"/>
    <w:rsid w:val="00FB06CA"/>
    <w:rsid w:val="00FB676D"/>
    <w:rsid w:val="00FB6DBD"/>
    <w:rsid w:val="00FC10C2"/>
    <w:rsid w:val="00FC2100"/>
    <w:rsid w:val="00FC2BFA"/>
    <w:rsid w:val="00FC5F8F"/>
    <w:rsid w:val="00FC70C1"/>
    <w:rsid w:val="00FD12DB"/>
    <w:rsid w:val="00FE65AD"/>
    <w:rsid w:val="00FF0807"/>
    <w:rsid w:val="00FF2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E949B"/>
  <w15:chartTrackingRefBased/>
  <w15:docId w15:val="{E430EB1C-490D-4454-B279-D0A73996C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32410"/>
    <w:pPr>
      <w:widowControl w:val="0"/>
      <w:autoSpaceDE w:val="0"/>
      <w:autoSpaceDN w:val="0"/>
      <w:spacing w:after="0" w:line="240" w:lineRule="auto"/>
      <w:ind w:left="1584" w:firstLine="340"/>
      <w:jc w:val="both"/>
    </w:pPr>
    <w:rPr>
      <w:rFonts w:ascii="Arial MT" w:eastAsia="Arial MT" w:hAnsi="Arial MT" w:cs="Arial MT"/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32410"/>
    <w:rPr>
      <w:rFonts w:ascii="Arial MT" w:eastAsia="Arial MT" w:hAnsi="Arial MT" w:cs="Arial MT"/>
      <w:sz w:val="20"/>
      <w:szCs w:val="20"/>
    </w:rPr>
  </w:style>
  <w:style w:type="paragraph" w:styleId="Prrafodelista">
    <w:name w:val="List Paragraph"/>
    <w:aliases w:val="List1,Table of contents numbered,List bullet 1,Lista - Párrafo,Párrafo Numerado,Iz - Párrafo de lista,Sivsa Parrafo,lista,Figure_name,Bullet List,Lista sin Numerar,Lista viñetas,Colorful List - Accent 11,Llista Nivell1,Lista de nivel 1"/>
    <w:basedOn w:val="Normal"/>
    <w:link w:val="PrrafodelistaCar"/>
    <w:uiPriority w:val="1"/>
    <w:qFormat/>
    <w:rsid w:val="00832410"/>
    <w:pPr>
      <w:widowControl w:val="0"/>
      <w:autoSpaceDE w:val="0"/>
      <w:autoSpaceDN w:val="0"/>
      <w:spacing w:before="2" w:after="0" w:line="240" w:lineRule="auto"/>
      <w:ind w:left="1584" w:right="1583" w:firstLine="340"/>
      <w:jc w:val="both"/>
    </w:pPr>
    <w:rPr>
      <w:rFonts w:ascii="Arial MT" w:eastAsia="Arial MT" w:hAnsi="Arial MT" w:cs="Arial MT"/>
    </w:rPr>
  </w:style>
  <w:style w:type="paragraph" w:styleId="Encabezado">
    <w:name w:val="header"/>
    <w:basedOn w:val="Normal"/>
    <w:link w:val="EncabezadoCar"/>
    <w:uiPriority w:val="99"/>
    <w:unhideWhenUsed/>
    <w:rsid w:val="008776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776AF"/>
  </w:style>
  <w:style w:type="paragraph" w:styleId="Piedepgina">
    <w:name w:val="footer"/>
    <w:basedOn w:val="Normal"/>
    <w:link w:val="PiedepginaCar"/>
    <w:uiPriority w:val="99"/>
    <w:unhideWhenUsed/>
    <w:rsid w:val="008776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776AF"/>
  </w:style>
  <w:style w:type="paragraph" w:styleId="Sinespaciado">
    <w:name w:val="No Spacing"/>
    <w:uiPriority w:val="1"/>
    <w:qFormat/>
    <w:rsid w:val="002610D8"/>
    <w:pPr>
      <w:spacing w:after="0" w:line="240" w:lineRule="auto"/>
    </w:pPr>
  </w:style>
  <w:style w:type="character" w:styleId="Refdecomentario">
    <w:name w:val="annotation reference"/>
    <w:basedOn w:val="Fuentedeprrafopredeter"/>
    <w:semiHidden/>
    <w:unhideWhenUsed/>
    <w:rsid w:val="0075719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5719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5719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5719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57190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264C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891F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ietaa">
    <w:name w:val="Viñeta a)"/>
    <w:basedOn w:val="Normal"/>
    <w:link w:val="VietaaCar"/>
    <w:qFormat/>
    <w:rsid w:val="00D14641"/>
    <w:pPr>
      <w:numPr>
        <w:numId w:val="1"/>
      </w:numPr>
      <w:spacing w:before="120" w:after="120" w:line="240" w:lineRule="auto"/>
      <w:jc w:val="both"/>
    </w:pPr>
    <w:rPr>
      <w:rFonts w:ascii="Calibri" w:eastAsia="Calibri" w:hAnsi="Calibri" w:cs="Arial"/>
      <w:color w:val="595959" w:themeColor="text1" w:themeTint="A6"/>
      <w:szCs w:val="20"/>
      <w:lang w:val="en-US" w:eastAsia="es-ES"/>
    </w:rPr>
  </w:style>
  <w:style w:type="character" w:customStyle="1" w:styleId="VietaaCar">
    <w:name w:val="Viñeta a) Car"/>
    <w:basedOn w:val="Fuentedeprrafopredeter"/>
    <w:link w:val="Vietaa"/>
    <w:rsid w:val="00D14641"/>
    <w:rPr>
      <w:rFonts w:ascii="Calibri" w:eastAsia="Calibri" w:hAnsi="Calibri" w:cs="Arial"/>
      <w:color w:val="595959" w:themeColor="text1" w:themeTint="A6"/>
      <w:szCs w:val="20"/>
      <w:lang w:val="en-US" w:eastAsia="es-ES"/>
    </w:rPr>
  </w:style>
  <w:style w:type="paragraph" w:customStyle="1" w:styleId="aVietasincolor">
    <w:name w:val="a) Viñeta sin color"/>
    <w:basedOn w:val="Prrafodelista"/>
    <w:link w:val="aVietasincolorCar"/>
    <w:qFormat/>
    <w:rsid w:val="00D14641"/>
    <w:pPr>
      <w:widowControl/>
      <w:numPr>
        <w:numId w:val="2"/>
      </w:numPr>
      <w:autoSpaceDE/>
      <w:autoSpaceDN/>
      <w:spacing w:before="100" w:after="100"/>
      <w:ind w:right="0"/>
    </w:pPr>
    <w:rPr>
      <w:rFonts w:ascii="Calibri" w:eastAsia="Calibri" w:hAnsi="Calibri" w:cs="Times New Roman"/>
      <w:color w:val="595959" w:themeColor="text1" w:themeTint="A6"/>
      <w:szCs w:val="20"/>
      <w:lang w:eastAsia="es-ES"/>
    </w:rPr>
  </w:style>
  <w:style w:type="character" w:customStyle="1" w:styleId="aVietasincolorCar">
    <w:name w:val="a) Viñeta sin color Car"/>
    <w:basedOn w:val="Fuentedeprrafopredeter"/>
    <w:link w:val="aVietasincolor"/>
    <w:rsid w:val="00D14641"/>
    <w:rPr>
      <w:rFonts w:ascii="Calibri" w:eastAsia="Calibri" w:hAnsi="Calibri" w:cs="Times New Roman"/>
      <w:color w:val="595959" w:themeColor="text1" w:themeTint="A6"/>
      <w:szCs w:val="20"/>
      <w:lang w:eastAsia="es-ES"/>
    </w:rPr>
  </w:style>
  <w:style w:type="paragraph" w:customStyle="1" w:styleId="1Numsincolor">
    <w:name w:val="1. Num sin color"/>
    <w:basedOn w:val="Normal"/>
    <w:link w:val="1NumsincolorCar"/>
    <w:qFormat/>
    <w:rsid w:val="00D14641"/>
    <w:pPr>
      <w:numPr>
        <w:numId w:val="3"/>
      </w:numPr>
      <w:spacing w:before="100" w:after="100" w:line="240" w:lineRule="auto"/>
      <w:jc w:val="both"/>
    </w:pPr>
    <w:rPr>
      <w:rFonts w:ascii="Calibri" w:eastAsia="Calibri" w:hAnsi="Calibri" w:cs="Times New Roman"/>
      <w:color w:val="595959" w:themeColor="text1" w:themeTint="A6"/>
      <w:szCs w:val="20"/>
      <w:lang w:eastAsia="es-ES"/>
    </w:rPr>
  </w:style>
  <w:style w:type="character" w:customStyle="1" w:styleId="1NumsincolorCar">
    <w:name w:val="1. Num sin color Car"/>
    <w:basedOn w:val="Fuentedeprrafopredeter"/>
    <w:link w:val="1Numsincolor"/>
    <w:rsid w:val="00D14641"/>
    <w:rPr>
      <w:rFonts w:ascii="Calibri" w:eastAsia="Calibri" w:hAnsi="Calibri" w:cs="Times New Roman"/>
      <w:color w:val="595959" w:themeColor="text1" w:themeTint="A6"/>
      <w:szCs w:val="20"/>
      <w:lang w:eastAsia="es-ES"/>
    </w:rPr>
  </w:style>
  <w:style w:type="table" w:customStyle="1" w:styleId="Tablaconcuadrcula2">
    <w:name w:val="Tabla con cuadrícula2"/>
    <w:basedOn w:val="Tablanormal"/>
    <w:next w:val="Tablaconcuadrcula"/>
    <w:uiPriority w:val="59"/>
    <w:rsid w:val="00D1464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37DD0"/>
    <w:rPr>
      <w:color w:val="0000FF"/>
      <w:u w:val="single"/>
    </w:rPr>
  </w:style>
  <w:style w:type="paragraph" w:customStyle="1" w:styleId="a">
    <w:name w:val="a"/>
    <w:basedOn w:val="Normal"/>
    <w:rsid w:val="00037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037DD0"/>
    <w:rPr>
      <w:i/>
      <w:iCs/>
    </w:rPr>
  </w:style>
  <w:style w:type="character" w:customStyle="1" w:styleId="PrrafodelistaCar">
    <w:name w:val="Párrafo de lista Car"/>
    <w:aliases w:val="List1 Car,Table of contents numbered Car,List bullet 1 Car,Lista - Párrafo Car,Párrafo Numerado Car,Iz - Párrafo de lista Car,Sivsa Parrafo Car,lista Car,Figure_name Car,Bullet List Car,Lista sin Numerar Car,Lista viñetas Car"/>
    <w:link w:val="Prrafodelista"/>
    <w:uiPriority w:val="34"/>
    <w:qFormat/>
    <w:rsid w:val="00C35140"/>
    <w:rPr>
      <w:rFonts w:ascii="Arial MT" w:eastAsia="Arial MT" w:hAnsi="Arial MT" w:cs="Arial MT"/>
    </w:rPr>
  </w:style>
  <w:style w:type="character" w:styleId="Hipervnculovisitado">
    <w:name w:val="FollowedHyperlink"/>
    <w:basedOn w:val="Fuentedeprrafopredeter"/>
    <w:uiPriority w:val="99"/>
    <w:semiHidden/>
    <w:unhideWhenUsed/>
    <w:rsid w:val="00537DA7"/>
    <w:rPr>
      <w:color w:val="954F72" w:themeColor="followed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D35E73"/>
    <w:rPr>
      <w:color w:val="605E5C"/>
      <w:shd w:val="clear" w:color="auto" w:fill="E1DFDD"/>
    </w:rPr>
  </w:style>
  <w:style w:type="paragraph" w:customStyle="1" w:styleId="Default">
    <w:name w:val="Default"/>
    <w:rsid w:val="007C7D1E"/>
    <w:pPr>
      <w:autoSpaceDE w:val="0"/>
      <w:autoSpaceDN w:val="0"/>
      <w:adjustRightInd w:val="0"/>
      <w:spacing w:after="0" w:line="240" w:lineRule="auto"/>
    </w:pPr>
    <w:rPr>
      <w:rFonts w:ascii="Myriad Pro" w:eastAsia="Times New Roman" w:hAnsi="Myriad Pro" w:cs="Myriad Pro"/>
      <w:color w:val="000000"/>
      <w:sz w:val="24"/>
      <w:szCs w:val="24"/>
      <w:lang w:eastAsia="es-ES"/>
    </w:rPr>
  </w:style>
  <w:style w:type="paragraph" w:styleId="Revisin">
    <w:name w:val="Revision"/>
    <w:hidden/>
    <w:uiPriority w:val="99"/>
    <w:semiHidden/>
    <w:rsid w:val="00294E59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12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12842"/>
    <w:rPr>
      <w:rFonts w:ascii="Segoe UI" w:hAnsi="Segoe UI" w:cs="Segoe UI"/>
      <w:sz w:val="18"/>
      <w:szCs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A568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A568B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2A568B"/>
    <w:rPr>
      <w:vertAlign w:val="superscript"/>
    </w:rPr>
  </w:style>
  <w:style w:type="character" w:styleId="Mencinsinresolver">
    <w:name w:val="Unresolved Mention"/>
    <w:basedOn w:val="Fuentedeprrafopredeter"/>
    <w:uiPriority w:val="99"/>
    <w:semiHidden/>
    <w:unhideWhenUsed/>
    <w:rsid w:val="003432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3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dcd74f4-8ff8-4dcb-9bd2-65b21a32d108">
      <Terms xmlns="http://schemas.microsoft.com/office/infopath/2007/PartnerControls"/>
    </lcf76f155ced4ddcb4097134ff3c332f>
    <TaxCatchAll xmlns="ce17ee78-b419-45c3-ad19-9c18ae4c4b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FF183B616943247A16F85B7DCC29943" ma:contentTypeVersion="15" ma:contentTypeDescription="Crear nuevo documento." ma:contentTypeScope="" ma:versionID="28299c3035a1334adaaeeb690431f448">
  <xsd:schema xmlns:xsd="http://www.w3.org/2001/XMLSchema" xmlns:xs="http://www.w3.org/2001/XMLSchema" xmlns:p="http://schemas.microsoft.com/office/2006/metadata/properties" xmlns:ns2="4dcd74f4-8ff8-4dcb-9bd2-65b21a32d108" xmlns:ns3="ce17ee78-b419-45c3-ad19-9c18ae4c4b8f" targetNamespace="http://schemas.microsoft.com/office/2006/metadata/properties" ma:root="true" ma:fieldsID="3dfe589d559212f84b3c52957e26fd27" ns2:_="" ns3:_="">
    <xsd:import namespace="4dcd74f4-8ff8-4dcb-9bd2-65b21a32d108"/>
    <xsd:import namespace="ce17ee78-b419-45c3-ad19-9c18ae4c4b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cd74f4-8ff8-4dcb-9bd2-65b21a32d1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f6a6488a-54df-425c-be80-a6bf39aec3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17ee78-b419-45c3-ad19-9c18ae4c4b8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0bf7cc5-43ff-47e1-af99-c8ed19b04391}" ma:internalName="TaxCatchAll" ma:showField="CatchAllData" ma:web="ce17ee78-b419-45c3-ad19-9c18ae4c4b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FF183B616943247A16F85B7DCC29943" ma:contentTypeVersion="15" ma:contentTypeDescription="Crear nuevo documento." ma:contentTypeScope="" ma:versionID="28299c3035a1334adaaeeb690431f448">
  <xsd:schema xmlns:xsd="http://www.w3.org/2001/XMLSchema" xmlns:xs="http://www.w3.org/2001/XMLSchema" xmlns:p="http://schemas.microsoft.com/office/2006/metadata/properties" xmlns:ns2="4dcd74f4-8ff8-4dcb-9bd2-65b21a32d108" xmlns:ns3="ce17ee78-b419-45c3-ad19-9c18ae4c4b8f" targetNamespace="http://schemas.microsoft.com/office/2006/metadata/properties" ma:root="true" ma:fieldsID="3dfe589d559212f84b3c52957e26fd27" ns2:_="" ns3:_="">
    <xsd:import namespace="4dcd74f4-8ff8-4dcb-9bd2-65b21a32d108"/>
    <xsd:import namespace="ce17ee78-b419-45c3-ad19-9c18ae4c4b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cd74f4-8ff8-4dcb-9bd2-65b21a32d1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f6a6488a-54df-425c-be80-a6bf39aec3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17ee78-b419-45c3-ad19-9c18ae4c4b8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0bf7cc5-43ff-47e1-af99-c8ed19b04391}" ma:internalName="TaxCatchAll" ma:showField="CatchAllData" ma:web="ce17ee78-b419-45c3-ad19-9c18ae4c4b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dcd74f4-8ff8-4dcb-9bd2-65b21a32d108">
      <Terms xmlns="http://schemas.microsoft.com/office/infopath/2007/PartnerControls"/>
    </lcf76f155ced4ddcb4097134ff3c332f>
    <TaxCatchAll xmlns="ce17ee78-b419-45c3-ad19-9c18ae4c4b8f" xsi:nil="true"/>
  </documentManagement>
</p:properties>
</file>

<file path=customXml/itemProps1.xml><?xml version="1.0" encoding="utf-8"?>
<ds:datastoreItem xmlns:ds="http://schemas.openxmlformats.org/officeDocument/2006/customXml" ds:itemID="{EC8FB25B-8F5D-4189-A9FF-ECA1335BEB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ADCA32-3F59-4B80-A5F9-E44D704F9E0E}">
  <ds:schemaRefs>
    <ds:schemaRef ds:uri="http://schemas.microsoft.com/office/2006/metadata/properties"/>
    <ds:schemaRef ds:uri="http://schemas.microsoft.com/office/infopath/2007/PartnerControls"/>
    <ds:schemaRef ds:uri="4dcd74f4-8ff8-4dcb-9bd2-65b21a32d108"/>
    <ds:schemaRef ds:uri="ce17ee78-b419-45c3-ad19-9c18ae4c4b8f"/>
  </ds:schemaRefs>
</ds:datastoreItem>
</file>

<file path=customXml/itemProps3.xml><?xml version="1.0" encoding="utf-8"?>
<ds:datastoreItem xmlns:ds="http://schemas.openxmlformats.org/officeDocument/2006/customXml" ds:itemID="{9A0586B5-2AC8-4E9D-853A-5D89130767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cd74f4-8ff8-4dcb-9bd2-65b21a32d108"/>
    <ds:schemaRef ds:uri="ce17ee78-b419-45c3-ad19-9c18ae4c4b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C150BB-23CB-4F25-9953-DF19611EF74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F50FDC6-6C56-44C0-B2CD-42F4B6812E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cd74f4-8ff8-4dcb-9bd2-65b21a32d108"/>
    <ds:schemaRef ds:uri="ce17ee78-b419-45c3-ad19-9c18ae4c4b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1EE8E814-DA36-4796-9A86-51DDF07EA895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1F7AAED1-8915-4A04-938C-26EA17A51D67}">
  <ds:schemaRefs>
    <ds:schemaRef ds:uri="http://schemas.microsoft.com/office/2006/metadata/properties"/>
    <ds:schemaRef ds:uri="http://schemas.microsoft.com/office/infopath/2007/PartnerControls"/>
    <ds:schemaRef ds:uri="4dcd74f4-8ff8-4dcb-9bd2-65b21a32d108"/>
    <ds:schemaRef ds:uri="ce17ee78-b419-45c3-ad19-9c18ae4c4b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1105</TotalTime>
  <Pages>4</Pages>
  <Words>1220</Words>
  <Characters>6712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Sanz</dc:creator>
  <cp:keywords/>
  <dc:description/>
  <cp:lastModifiedBy>JIMENEZ ALADRO, DAVID</cp:lastModifiedBy>
  <cp:revision>22</cp:revision>
  <dcterms:created xsi:type="dcterms:W3CDTF">2022-07-28T13:01:00Z</dcterms:created>
  <dcterms:modified xsi:type="dcterms:W3CDTF">2022-07-29T08:26:00Z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0x0101001FF183B616943247A16F85B7DCC29943</vt:lpwstr>
  </property>
  <property fmtid="{D5CDD505-2E9C-101B-9397-08002B2CF9AE}" pid="3" name="MediaServiceImageTags">
    <vt:lpwstr/>
  </property>
</Properties>
</file>